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</w:p>
    <w:p>
      <w:pPr>
        <w:spacing w:after="280"/>
      </w:pPr>
    </w:p>
    <w:p>
      <w:pPr>
        <w:spacing w:after="280"/>
      </w:pPr>
    </w:p>
    <w:p>
      <w:pPr>
        <w:spacing w:after="280"/>
      </w:pPr>
    </w:p>
    <w:p>
      <w:pPr>
        <w:spacing w:after="320"/>
        <w:jc w:val="center"/>
      </w:pPr>
      <w:r>
        <w:rPr>
          <w:rFonts w:ascii="Noto Sans SC" w:hAnsi="Noto Sans SC" w:eastAsia="Noto Sans SC"/>
          <w:b/>
          <w:i w:val="0"/>
          <w:color w:val="1E6F78"/>
          <w:sz w:val="24"/>
        </w:rPr>
        <w:t>项目可行性与实施方案</w:t>
      </w:r>
    </w:p>
    <w:p>
      <w:pPr>
        <w:spacing w:after="200"/>
        <w:jc w:val="center"/>
      </w:pPr>
      <w:r>
        <w:rPr>
          <w:rFonts w:ascii="Noto Sans SC" w:hAnsi="Noto Sans SC" w:eastAsia="Noto Sans SC"/>
          <w:b/>
          <w:i w:val="0"/>
          <w:color w:val="123B4A"/>
          <w:sz w:val="60"/>
        </w:rPr>
        <w:t>马尔代夫 Addu City</w:t>
      </w:r>
    </w:p>
    <w:p>
      <w:pPr>
        <w:spacing w:after="280"/>
        <w:jc w:val="center"/>
      </w:pPr>
      <w:r>
        <w:rPr>
          <w:rFonts w:ascii="Noto Sans SC" w:hAnsi="Noto Sans SC" w:eastAsia="Noto Sans SC"/>
          <w:b/>
          <w:i w:val="0"/>
          <w:color w:val="123B4A"/>
          <w:sz w:val="50"/>
        </w:rPr>
        <w:t>共享电动自行车项目计划书</w:t>
      </w:r>
    </w:p>
    <w:p>
      <w:pPr>
        <w:spacing w:after="920"/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24"/>
        </w:rPr>
        <w:t>政策路径 | 投放规模 | 投资测算 | 收益与回报 | 实施计划</w:t>
      </w:r>
    </w:p>
    <w:p>
      <w:pPr>
        <w:jc w:val="center"/>
      </w:pPr>
      <w:r>
        <w:rPr>
          <w:rFonts w:ascii="Noto Sans SC" w:hAnsi="Noto Sans SC" w:eastAsia="Noto Sans SC"/>
          <w:b/>
          <w:i w:val="0"/>
          <w:color w:val="1E6F78"/>
          <w:sz w:val="22"/>
        </w:rPr>
        <w:t>规划口径：设备与系统从中国采购；目标上限1,000辆</w:t>
      </w:r>
    </w:p>
    <w:p>
      <w:pPr>
        <w:spacing w:after="80"/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20"/>
        </w:rPr>
        <w:t>编制日期：2026年8月4日</w:t>
      </w:r>
    </w:p>
    <w:p>
      <w:pPr>
        <w:jc w:val="center"/>
      </w:pPr>
      <w:r>
        <w:rPr>
          <w:rFonts w:ascii="Noto Sans SC" w:hAnsi="Noto Sans SC" w:eastAsia="Noto Sans SC"/>
          <w:b w:val="0"/>
          <w:i w:val="0"/>
          <w:color w:val="667085"/>
          <w:sz w:val="19"/>
        </w:rPr>
        <w:t>财务币种：美元（USD）；辅助列示人民币（CNY）和马尔代夫拉菲亚（MVR）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执行摘要</w:t>
      </w: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核心建议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不要一次性投放1,000辆。建议先在Hithadhoo-Maradhoo-Feydhoo-Gan连续道路走廊投放400辆，运营90至180天；只有当单车日均订单达到2.0单、可用率不低于90%、规范停车率不低于95%时，再扩至650辆，最终上限1,000辆。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City不是“约十万人口”的城市。马尔代夫统计局2026年发布的最新Addu City人口预测资料显示，2022年全市常住人口约27,305人，其中行政岛约26,432人；2042年全市约28,074人。按此规模，1,000辆相当于每27名常住人口配置1辆，若项目只依靠本地通勤，初始供给明显偏大。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政策上，项目具备绿色交通和旅游出行价值，但落地关键不在采购，而在运营资格和车辆属性。中马自贸协定税则将“电动自行车”列为旧版HS 8711901011，基准税率0%，类别A，满足中国原产地规则并提交合格原产地证明时，进口关税原则上为0。与此同时，马尔代夫外资准入清单将一般租赁和资产出租列为不对新外资开放；陆路运输服务虽可100%外资，但最低投资额为100万美元且需与政府签订特许或协议。因此，最稳妥结构是“Addu City Council授权/特许 + 马尔代夫本地运营公司 + 中国设备与平台供应商”。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按1,000辆完整建设口径，含车辆、系统、海运、备件、充换电及停车设施、工作场地、合规、市场启动、6个月营运资金和预备费，估算总投资约638万元人民币（约88.6万美元）。稳定运营后，基准情景按单车日均1.5单、含GST平均每单MVR20测算，年含税流水约71.0万美元，税前EBITDA约26.6万美元，静态回收期约3.3年。若单车日均仅0.8单，项目将出现经营亏损；因此“先试点、用订单密度决定扩容”是本项目的核心投资纪律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关键结论一览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2450"/>
        <w:gridCol w:w="521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事项</w:t>
            </w:r>
          </w:p>
        </w:tc>
        <w:tc>
          <w:tcPr>
            <w:tcW w:type="dxa" w:w="2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判断</w:t>
            </w:r>
          </w:p>
        </w:tc>
        <w:tc>
          <w:tcPr>
            <w:tcW w:type="dxa" w:w="52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城市人口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最新官方资料约2.7万人，不支持首日投放1,000辆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先投400辆，分两次扩容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进口关税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中马自贸协定下电动自行车原则上0%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发运前取得海关预裁定并准备原产地证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经营主体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纯外资“租赁”路径存在准入障碍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采用本地运营主体并争取市政府特许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车辆合规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电助力车与油门式电动车可能适用不同规则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优先250W脚踏助力、25km/h断电车型并书面确认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财务阈值</w:t>
            </w:r>
          </w:p>
        </w:tc>
        <w:tc>
          <w:tcPr>
            <w:tcW w:type="dxa" w:w="2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1,000辆基准回收约3.3年；低于0.8单/车/日易亏损</w:t>
            </w:r>
          </w:p>
        </w:tc>
        <w:tc>
          <w:tcPr>
            <w:tcW w:type="dxa" w:w="52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扩容门槛设为2.0单/车/日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目录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一、项目背景与市场判断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二、政策、法规与审批路径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三、投放规模与空间布局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四、商业模式与定价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五、投资测算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六、收入、利润与投资回报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七、运营体系与技术方案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八、实施进度与KPI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九、风险与应对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十、最终决策建议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附录：测算口径与主要资料来源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一、项目背景与市场判断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1.1 项目定位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项目拟以无桩或“虚拟停车点”模式，在Addu City提供短途共享电动自行车服务。车辆、智能控制器、定位锁和后台系统从中国采购，本地公司负责牌照、运营、调度、维修、充换电、客服和政府关系。目标客户包括本地居民通勤、学生和雇员接驳、机场及酒店游客、周末休闲骑行四类。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Addu的地理条件适合两轮出行：Hithadhoo、Maradhoo、Maradhoo-Feydhoo、Feydhoo和Gan由约16公里的Link Road连接，路线相对平坦，机场、医院、学校、商业区和居住区沿走廊分布。共享电动车的价值不是替代长途公交，而是补充2至8公里的短途和“最后一公里”。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1.2 人口与潜在需求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300"/>
        <w:gridCol w:w="44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指标</w:t>
            </w:r>
          </w:p>
        </w:tc>
        <w:tc>
          <w:tcPr>
            <w:tcW w:type="dxa" w:w="2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官方/规划口径</w:t>
            </w:r>
          </w:p>
        </w:tc>
        <w:tc>
          <w:tcPr>
            <w:tcW w:type="dxa" w:w="44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对项目的含义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Addu City常住人口（2022）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约27,305人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本地市场属于小城市规模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行政岛常住人口（2022）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约26,432人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主要服务对象集中在可运营岛屿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全市常住人口（2042预测）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约28,074人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人口增长有限，不能依赖自然增长消化车辆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1,000辆人口配比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约1辆/27人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初始投放密度偏高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400辆人口配比</w:t>
            </w:r>
          </w:p>
        </w:tc>
        <w:tc>
          <w:tcPr>
            <w:tcW w:type="dxa" w:w="2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约1辆/68人</w:t>
            </w:r>
          </w:p>
        </w:tc>
        <w:tc>
          <w:tcPr>
            <w:tcW w:type="dxa" w:w="4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适合作为首期验证规模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以行政岛人口2.64万人估算，18至64岁、具备智能手机和电子支付能力、且愿意尝试共享两轮出行的可触达人群可先按9,000至13,000人测算。如果其中5%至8%在某一工作日使用，约产生450至1,040名用户。按每名用户1.1至1.3单计算，对应500至1,350单/日。该需求足以支持400至650辆高周转运营，但不足以保证1,000辆从首日达到合理利用率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1.3 市场机会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通勤补位：公交班次与站点覆盖之外的2至8公里出行，可由共享电动车补充。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旅游体验：Gan机场、酒店、历史遗址、自然公园和海岸路线可设计游客骑行产品。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绿色交通：马尔代夫已在Hulhumale提出太阳能充电公共自行车试点，说明公共部门对低碳微出行有政策兴趣。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城市治理数字化：平台可向市政府提供热力图、停车合规、碳减排和车辆状态数据。</w:t>
      </w: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市场边界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Addu现有摩托车、出租车和公交均是竞争方式。共享电动车不能只靠“环保概念”，必须在取车便利、价格、车辆可靠性和停车秩序上形成实际优势。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二、政策、法规与审批路径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2.1 现阶段能够确认的政策事实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国家交通主管部门负责陆路交通、车辆登记和年度车辆费用；其官方平台已经运行车辆年度费用查询及缴费功能。项目车辆是否按自行车、助力自行车、轻便摩托车或电动摩托车登记，必须由主管部门按具体车型书面认定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 Council负责本地公共空间、城市设施和市级项目协调。无桩车辆在道路边、公交站、机场周边、学校、医院、旅游点及公共土地停放，均应通过市政府批准的停车点清单、地图和运营协议管理。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中马自由贸易协定自2025年1月1日起生效。协定税则中旧版HS 8711901011“Bicycle (Electric)”基准税率为0%、类别A；因此中国原产电动自行车原则上0关税。新HS版本通常对应871160，最终以马尔代夫海关预裁定为准。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一般部门GST税率为8%，提供共享出行服务的本地经营主体应办理GST登记并以含税价格向消费者展示。进口设备用于项目经营时的GST处理、进项抵扣和计税时点，应由MIRA或当地税务顾问书面确认。</w:t>
      </w:r>
    </w:p>
    <w:p>
      <w:pPr>
        <w:numPr>
          <w:ilvl w:val="0"/>
          <w:numId w:val="12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马尔代夫企业所得税对非个人、非银行主体的应税所得超过MVR500,000部分适用15%税率。财务模型的EBITDA不是税后利润，正式投资决策应增加折旧、资本津贴、利息和所得税测算。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2.2 外资准入和推荐项目结构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800"/>
        <w:gridCol w:w="1350"/>
        <w:gridCol w:w="3780"/>
        <w:gridCol w:w="2430"/>
      </w:tblGrid>
      <w:tr>
        <w:trPr>
          <w:tblHeader w:val="true"/>
        </w:trPr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可选结构</w:t>
            </w:r>
          </w:p>
        </w:tc>
        <w:tc>
          <w:tcPr>
            <w:tcW w:type="dxa" w:w="13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政策可行性</w:t>
            </w:r>
          </w:p>
        </w:tc>
        <w:tc>
          <w:tcPr>
            <w:tcW w:type="dxa" w:w="37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优缺点</w:t>
            </w:r>
          </w:p>
        </w:tc>
        <w:tc>
          <w:tcPr>
            <w:tcW w:type="dxa" w:w="243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建议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中国投资者直接设立100%外资租赁公司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高风险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2025准入清单将一般租赁/资产出租列为关闭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不采用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100%外资陆路运输公司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有条件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最低投资100万美元，并需政府特许/协议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仅在政府明确将项目归类为陆运服务时考虑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马尔代夫本地运营公司 + 中国供应商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较高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本地主体持牌运营；中国方销售车辆、系统并提供技术服务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优先方案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Addu City特许项目公司/SPV</w:t>
            </w:r>
          </w:p>
        </w:tc>
        <w:tc>
          <w:tcPr>
            <w:tcW w:type="dxa" w:w="13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最高但谈判较重</w:t>
            </w:r>
          </w:p>
        </w:tc>
        <w:tc>
          <w:tcPr>
            <w:tcW w:type="dxa" w:w="37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以市政府协议明确公共空间、期限、数据、服务水平和收益分配</w:t>
            </w:r>
          </w:p>
        </w:tc>
        <w:tc>
          <w:tcPr>
            <w:tcW w:type="dxa" w:w="2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中长期最佳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推荐合同链条为：Addu City Council与本地运营公司签署3至5年可续期的微出行特许/合作协议；本地运营公司与中国车辆供应商签采购及质保协议；与中国平台供应商签系统许可、数据处理和服务级别协议；中国投资人如需参与股权，则在马尔代夫外资审批和活动分类明确后进入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2.3 必须取得的书面文件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4990"/>
        <w:gridCol w:w="267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责任方</w:t>
            </w:r>
          </w:p>
        </w:tc>
        <w:tc>
          <w:tcPr>
            <w:tcW w:type="dxa" w:w="499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必须确认/取得的文件</w:t>
            </w:r>
          </w:p>
        </w:tc>
        <w:tc>
          <w:tcPr>
            <w:tcW w:type="dxa" w:w="267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未取得的后果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Addu City Council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项目NOC或特许协议；停车点和充换电点清单；车队上限；市政费用/分成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车辆可能被清理，无法稳定运营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交通主管部门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车型分类、型式/技术准入、逐车登记、牌照、年费、驾驶证、年龄、头盔和限速要求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整批车辆可能无法上路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Maldives Police Service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道路安全方案、禁行路段、事故处理和执法联络机制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事故和投诉风险高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Maldives Customs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HS归类预裁定、0%关税适用、原产地证格式、锂电运输文件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补税、滞港或清关延误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MIRA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GST登记、进口/自用设备GST处理、定价和发票、所得税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税务处罚或现金流误判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EPA/市政环保部门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废旧电池、损坏车辆、消防和危废处置方案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环境合规及声誉风险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电力/通信/支付机构</w:t>
            </w:r>
          </w:p>
        </w:tc>
        <w:tc>
          <w:tcPr>
            <w:tcW w:type="dxa" w:w="499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充电用电、物联网SIM、短信、支付结算及退款</w:t>
            </w:r>
          </w:p>
        </w:tc>
        <w:tc>
          <w:tcPr>
            <w:tcW w:type="dxa" w:w="267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平台无法闭环</w:t>
            </w:r>
          </w:p>
        </w:tc>
      </w:tr>
    </w:tbl>
    <w:p>
      <w:pPr>
        <w:spacing w:after="0"/>
      </w:pPr>
    </w:p>
    <w:p>
      <w:pPr>
        <w:ind w:left="216" w:right="144"/>
        <w:pBdr>
          <w:left w:val="single" w:sz="24" w:space="8" w:color="9B1C1C"/>
        </w:pBdr>
      </w:pPr>
      <w:r>
        <w:rPr>
          <w:rFonts w:ascii="Noto Sans SC" w:hAnsi="Noto Sans SC" w:eastAsia="Noto Sans SC"/>
          <w:b/>
          <w:i w:val="0"/>
          <w:color w:val="9B1C1C"/>
          <w:sz w:val="22"/>
        </w:rPr>
        <w:t xml:space="preserve">特别提醒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不要先采购1,000辆再去确认车辆分类。油门式、无脚踏或速度较高的车型，更可能被视为电动摩托车并触发登记、驾驶证、保险和头盔要求。车辆技术参数应写入政府书面确认的附件。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2.4 建议写入市政府协议的管理条款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许可期限3至5年；是否独家；扩容规则和最高车队数量。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采用“虚拟停车点”而非全域任意停车；禁停区包括主车道、消防通道、学校门口、医院急救区和狭窄人行空间。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违规停车处置时限：核心区域30分钟、一般区域2小时；超时罚则和拖移机制。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车辆可用率、故障率、事故报告、投诉响应和数据报送标准。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市政府收费建议采用营业流水3%至5%的分成，避免前期高额固定特许费挤压项目现金流。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约定试点失败的退出机制，包括车辆撤场、押金返还、数据删除和公共设施恢复。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三、投放规模与空间布局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3.1 推荐分期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650"/>
        <w:gridCol w:w="1450"/>
        <w:gridCol w:w="2860"/>
        <w:gridCol w:w="1450"/>
        <w:gridCol w:w="1950"/>
      </w:tblGrid>
      <w:tr>
        <w:trPr>
          <w:tblHeader w:val="true"/>
        </w:trPr>
        <w:tc>
          <w:tcPr>
            <w:tcW w:type="dxa" w:w="16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阶段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车辆数</w:t>
            </w:r>
          </w:p>
        </w:tc>
        <w:tc>
          <w:tcPr>
            <w:tcW w:type="dxa" w:w="28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区域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持续时间</w:t>
            </w:r>
          </w:p>
        </w:tc>
        <w:tc>
          <w:tcPr>
            <w:tcW w:type="dxa" w:w="1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扩容条件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0期：合规和小样测试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20至30辆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封闭场地及政府指定道路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4至6周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车型、系统、制动、防腐、定位测试通过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1期：商业试运营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400辆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Hithadhoo至Gan主走廊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90至180天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单车日均订单&gt;=2.0；可用率&gt;=90%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2期：走廊加密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增加250辆，总650辆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学校、医院、商业区、机场与酒店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3至6个月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高峰缺车率&gt;15%；规范停车&gt;=95%</w:t>
            </w:r>
          </w:p>
        </w:tc>
      </w:tr>
      <w:tr>
        <w:tc>
          <w:tcPr>
            <w:tcW w:type="dxa" w:w="16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3期：全市上限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增加350辆，总1,000辆</w:t>
            </w:r>
          </w:p>
        </w:tc>
        <w:tc>
          <w:tcPr>
            <w:tcW w:type="dxa" w:w="28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成熟区域加密，评估Hulhumeedhoo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数据触发</w:t>
            </w:r>
          </w:p>
        </w:tc>
        <w:tc>
          <w:tcPr>
            <w:tcW w:type="dxa" w:w="1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连续90天单车日均订单&gt;=2.0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3.2 首期400辆建议分布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1800"/>
        <w:gridCol w:w="49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功能区</w:t>
            </w:r>
          </w:p>
        </w:tc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建议车辆</w:t>
            </w:r>
          </w:p>
        </w:tc>
        <w:tc>
          <w:tcPr>
            <w:tcW w:type="dxa" w:w="4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主要节点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Hithadhoo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150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住宅区、商业区、医院、学校、政府机构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Maradhoo及Maradhoo-Feydhoo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80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居住、零售、Link Road接驳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Feydhoo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80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住宅、码头、商业及机场接驳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Gan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机场、酒店、就业点、游客路线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机动调度/维修备用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30</w:t>
            </w:r>
          </w:p>
        </w:tc>
        <w:tc>
          <w:tcPr>
            <w:tcW w:type="dxa" w:w="4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仓库、活动和高峰补充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首期应布设60至80个虚拟停车点，平均每点5至7辆，核心节点间距约300至500米。停车点不必全部建设实体桩，但应有地面标识、App引导和电子围栏；机场、医院、学校和酒店等高价值点可安装带顶棚的实体车架。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四、商业模式与定价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4.1 收入结构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按次骑行收入：项目的基本盘，采用起步价 + 超时费。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会员收入：周卡、月卡、通勤卡和企业员工卡，提高复购和现金预收。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游客产品：日票、两日票、酒店联名码、机场至酒店接驳套餐。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B2B合作：酒店、学校、医院、机场和大型雇主购买骑行额度。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广告和冠名：车筐、挡泥板、App开屏及停车点冠名；财务基准情景暂不计入。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政府绿色交通支持：停车点、充电场地、电费或宣传支持；基准情景暂不计补贴。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4.2 建议价格（均为含8% GST展示价）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900"/>
        <w:gridCol w:w="2400"/>
        <w:gridCol w:w="1900"/>
        <w:gridCol w:w="3160"/>
      </w:tblGrid>
      <w:tr>
        <w:trPr>
          <w:tblHeader w:val="true"/>
        </w:trPr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产品</w:t>
            </w:r>
          </w:p>
        </w:tc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建议价格</w:t>
            </w:r>
          </w:p>
        </w:tc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适用人群</w:t>
            </w:r>
          </w:p>
        </w:tc>
        <w:tc>
          <w:tcPr>
            <w:tcW w:type="dxa" w:w="31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说明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居民按次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MVR15/前15分钟；其后MVR1/分钟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本地短途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约合USD0.97起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居民月卡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MVR299/月，含20次15分钟骑行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高频通勤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超出次数按次计费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游客按次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USD2/30分钟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短时游客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可由酒店扫码购买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游客日票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USD12/日，累计不超过3小时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观光骑行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单次最长60分钟，防止长期占车</w:t>
            </w:r>
          </w:p>
        </w:tc>
      </w:tr>
      <w:tr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企业/酒店包</w:t>
            </w:r>
          </w:p>
        </w:tc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按月协商，建议较零售价折扣10%至20%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员工与住客</w:t>
            </w:r>
          </w:p>
        </w:tc>
        <w:tc>
          <w:tcPr>
            <w:tcW w:type="dxa" w:w="31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形成保底订单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模型采用含税平均客单价MVR18、20和22三档，而不是把所有用户都按游客美元价收费。基准MVR20约合USD1.30，兼顾本地可负担性和运营成本。上线后应通过A/B测试调整起步时长、月卡次数和游客产品。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五、投资测算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5.1 统一测算假设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800"/>
        <w:gridCol w:w="39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假设</w:t>
            </w:r>
          </w:p>
        </w:tc>
        <w:tc>
          <w:tcPr>
            <w:tcW w:type="dxa" w:w="2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取值</w:t>
            </w:r>
          </w:p>
        </w:tc>
        <w:tc>
          <w:tcPr>
            <w:tcW w:type="dxa" w:w="3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备注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车辆+智能控制器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CNY3,000/辆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用户提供，不含国际运输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平台定制费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CNY100,000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一次性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平台服务费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USD1.5/辆/月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1,000辆为USD18,000/年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规划汇率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USD1=CNY7.20；USD1=MVR15.42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MVR汇率采用MMA 2026年6月参考值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进口关税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0%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以中国原产、HS预裁定和原产地证合规为前提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GST预留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设备CIF价值的8%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保守现金口径；是否可抵扣须由MIRA确认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预备费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约基础建设支出的8%</w:t>
            </w:r>
          </w:p>
        </w:tc>
        <w:tc>
          <w:tcPr>
            <w:tcW w:type="dxa" w:w="3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应对海运、清关、牌照和施工偏差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5.2 1,000辆完整投放投资预算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3300"/>
        <w:gridCol w:w="1900"/>
        <w:gridCol w:w="1800"/>
        <w:gridCol w:w="2360"/>
      </w:tblGrid>
      <w:tr>
        <w:trPr>
          <w:tblHeader w:val="true"/>
        </w:trPr>
        <w:tc>
          <w:tcPr>
            <w:tcW w:type="dxa" w:w="3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项目</w:t>
            </w:r>
          </w:p>
        </w:tc>
        <w:tc>
          <w:tcPr>
            <w:tcW w:type="dxa" w:w="19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人民币（CNY）</w:t>
            </w:r>
          </w:p>
        </w:tc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美元（USD）</w:t>
            </w:r>
          </w:p>
        </w:tc>
        <w:tc>
          <w:tcPr>
            <w:tcW w:type="dxa" w:w="2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说明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车辆及智能控制器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3,000,000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416,667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用户已知价格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平台定制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13,889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一次性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国际海运、保险及锂电危险品操作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83,333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需以装箱方案询价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进口GST现金预留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288,000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40,000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按车辆及运输CIF的8%估算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备件、备用电池及维修件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41,667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约车辆采购额10%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虚拟停车点、车架、充换电及消防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450,000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62,500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含重点站点实体设施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仓库、维修间、工具及办公启动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180,000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25,000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不含购地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设立、法律、许可和外资行政费预留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13,889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若走外资审批含USD5,000行政费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市场启动、培训和首批物料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150,000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20,833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上线前后3个月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6个月营运资金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800,000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111,111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工资、场租、调度、客服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预备费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412,000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57,222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约8%</w:t>
            </w:r>
          </w:p>
        </w:tc>
      </w:tr>
      <w:tr>
        <w:tc>
          <w:tcPr>
            <w:tcW w:type="dxa" w:w="3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合计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6,380,000</w:t>
            </w:r>
          </w:p>
        </w:tc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886,111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约638万元人民币</w:t>
            </w:r>
          </w:p>
        </w:tc>
      </w:tr>
    </w:tbl>
    <w:p>
      <w:pPr>
        <w:spacing w:after="0"/>
      </w:pPr>
    </w:p>
    <w:p>
      <w:pPr>
        <w:ind w:left="216" w:right="144"/>
        <w:pBdr>
          <w:left w:val="single" w:sz="24" w:space="8" w:color="8A6500"/>
        </w:pBdr>
      </w:pPr>
      <w:r>
        <w:rPr>
          <w:rFonts w:ascii="Noto Sans SC" w:hAnsi="Noto Sans SC" w:eastAsia="Noto Sans SC"/>
          <w:b/>
          <w:i w:val="0"/>
          <w:color w:val="8A6500"/>
          <w:sz w:val="22"/>
        </w:rPr>
        <w:t xml:space="preserve">预算说明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关税按0%测算，但该优势依赖中国原产地资格和正确申报。若海关把车型归入其他税号、原产地证不合格或整车与配件拆分申报，实际税负可能变化。正式采购前应把海关预裁定作为付款先决条件。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5.3 首期400辆预算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4200"/>
        <w:gridCol w:w="2580"/>
        <w:gridCol w:w="2580"/>
      </w:tblGrid>
      <w:tr>
        <w:trPr>
          <w:tblHeader w:val="true"/>
        </w:trPr>
        <w:tc>
          <w:tcPr>
            <w:tcW w:type="dxa" w:w="4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项目</w:t>
            </w:r>
          </w:p>
        </w:tc>
        <w:tc>
          <w:tcPr>
            <w:tcW w:type="dxa" w:w="25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估算人民币</w:t>
            </w:r>
          </w:p>
        </w:tc>
        <w:tc>
          <w:tcPr>
            <w:tcW w:type="dxa" w:w="25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估算美元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400辆车辆及控制器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1,200,000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166,667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平台定制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100,000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13,889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海运、保险及危险品操作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280,000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38,889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GST现金预留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118,400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16,444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备件和备用电池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180,000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25,000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停车、充换电和消防设施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250,000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34,722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仓库、工具、合规和市场启动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370,000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51,389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6个月营运资金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450,000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62,500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预备费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200,000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27,778</w:t>
            </w:r>
          </w:p>
        </w:tc>
      </w:tr>
      <w:tr>
        <w:tc>
          <w:tcPr>
            <w:tcW w:type="dxa" w:w="4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合计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3,148,400</w:t>
            </w:r>
          </w:p>
        </w:tc>
        <w:tc>
          <w:tcPr>
            <w:tcW w:type="dxa" w:w="25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righ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437,278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虽然400辆单车平均初始投资高于1,000辆方案，因为平台定制、仓库和合规成本不能同比缩小，但它把首次资本风险从约88.6万美元降至约43.7万美元，并能避免在需求不足时形成600辆低效闲置资产。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六、收入、利润与投资回报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6.1 1,000辆稳定年度情景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800"/>
        <w:gridCol w:w="950"/>
        <w:gridCol w:w="1050"/>
        <w:gridCol w:w="950"/>
        <w:gridCol w:w="1200"/>
        <w:gridCol w:w="1200"/>
        <w:gridCol w:w="1150"/>
        <w:gridCol w:w="1100"/>
        <w:gridCol w:w="960"/>
      </w:tblGrid>
      <w:tr>
        <w:trPr>
          <w:tblHeader w:val="true"/>
        </w:trPr>
        <w:tc>
          <w:tcPr>
            <w:tcW w:type="dxa" w:w="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情景</w:t>
            </w:r>
          </w:p>
        </w:tc>
        <w:tc>
          <w:tcPr>
            <w:tcW w:type="dxa" w:w="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单/车/日</w:t>
            </w:r>
          </w:p>
        </w:tc>
        <w:tc>
          <w:tcPr>
            <w:tcW w:type="dxa" w:w="10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含税客单</w:t>
            </w:r>
          </w:p>
        </w:tc>
        <w:tc>
          <w:tcPr>
            <w:tcW w:type="dxa" w:w="9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年订单</w:t>
            </w:r>
          </w:p>
        </w:tc>
        <w:tc>
          <w:tcPr>
            <w:tcW w:type="dxa" w:w="1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含税流水USD</w:t>
            </w:r>
          </w:p>
        </w:tc>
        <w:tc>
          <w:tcPr>
            <w:tcW w:type="dxa" w:w="1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不含GST收入</w:t>
            </w:r>
          </w:p>
        </w:tc>
        <w:tc>
          <w:tcPr>
            <w:tcW w:type="dxa" w:w="11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年运营支出</w:t>
            </w:r>
          </w:p>
        </w:tc>
        <w:tc>
          <w:tcPr>
            <w:tcW w:type="dxa" w:w="11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税前EBITDA</w:t>
            </w:r>
          </w:p>
        </w:tc>
        <w:tc>
          <w:tcPr>
            <w:tcW w:type="dxa" w:w="9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5"/>
              </w:rPr>
              <w:t>静态回收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保守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0.8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MVR18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292,000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340,856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315,607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362,268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-46,661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亏损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基准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1.5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MVR20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547,500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710,117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657,516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391,809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265,707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约3.3年</w:t>
            </w:r>
          </w:p>
        </w:tc>
      </w:tr>
      <w:tr>
        <w:tc>
          <w:tcPr>
            <w:tcW w:type="dxa" w:w="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乐观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2.4</w:t>
            </w:r>
          </w:p>
        </w:tc>
        <w:tc>
          <w:tcPr>
            <w:tcW w:type="dxa" w:w="10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MVR22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876,000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1,249,027</w:t>
            </w:r>
          </w:p>
        </w:tc>
        <w:tc>
          <w:tcPr>
            <w:tcW w:type="dxa" w:w="1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1,156,506</w:t>
            </w:r>
          </w:p>
        </w:tc>
        <w:tc>
          <w:tcPr>
            <w:tcW w:type="dxa" w:w="11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464,922</w:t>
            </w:r>
          </w:p>
        </w:tc>
        <w:tc>
          <w:tcPr>
            <w:tcW w:type="dxa" w:w="11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691,584</w:t>
            </w:r>
          </w:p>
        </w:tc>
        <w:tc>
          <w:tcPr>
            <w:tcW w:type="dxa" w:w="9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5"/>
              </w:rPr>
              <w:t>约1.3年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运营支出包括平台服务费、人员、场地、维修备件、电池更新准备、车辆丢损、调度、保险/登记预留、客服、营销、审计和行政；另按含税流水8%计提支付通道费及市政府分成。基准固定运营成本按每年约33.5万美元估算，乐观情景因维修和调度工作增加，固定部分提高至36.5万美元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6.2 基准情景计算公式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800"/>
        <w:gridCol w:w="4300"/>
        <w:gridCol w:w="3260"/>
      </w:tblGrid>
      <w:tr>
        <w:trPr>
          <w:tblHeader w:val="true"/>
        </w:trPr>
        <w:tc>
          <w:tcPr>
            <w:tcW w:type="dxa" w:w="1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步骤</w:t>
            </w:r>
          </w:p>
        </w:tc>
        <w:tc>
          <w:tcPr>
            <w:tcW w:type="dxa" w:w="43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公式</w:t>
            </w:r>
          </w:p>
        </w:tc>
        <w:tc>
          <w:tcPr>
            <w:tcW w:type="dxa" w:w="32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结果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年订单量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1,000辆 x 1.5单/日 x 365日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547,500单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含税流水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547,500单 x MVR20 / 15.42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USD710,117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不含GST收入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USD710,117 / 1.08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USD657,516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收入联动成本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含税流水 x 8%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USD56,809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EBITDA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657,516 - 335,000 - 56,809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USD265,707</w:t>
            </w:r>
          </w:p>
        </w:tc>
      </w:tr>
      <w:tr>
        <w:tc>
          <w:tcPr>
            <w:tcW w:type="dxa" w:w="1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静态回收期</w:t>
            </w:r>
          </w:p>
        </w:tc>
        <w:tc>
          <w:tcPr>
            <w:tcW w:type="dxa" w:w="43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初始投资886,111 / 265,707</w:t>
            </w:r>
          </w:p>
        </w:tc>
        <w:tc>
          <w:tcPr>
            <w:tcW w:type="dxa" w:w="32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3.33年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EBITDA口径未扣所得税、融资利息和会计折旧。正式融资模型应按马尔代夫资本津贴规则计算应税利润，并加入贷款利率、偿债计划和电池/整车大修资本开支。对早期决策而言，最重要的变量不是电费，而是单车日均订单和平均客单价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6.3 盈亏平衡与扩容阈值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按基准含税客单MVR20、支付及市政府分成合计8%、1,000辆固定运营成本33.5万美元测算，EBITDA盈亏平衡约为0.84单/车/日；若要求4年内收回88.6万美元初始投资，则需约1.39单/车/日。考虑淡旺季、事故、政策变化和预测误差，扩容标准不应只设在1.39单，而应提高到连续90天2.0单/车/日。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400"/>
        <w:gridCol w:w="2200"/>
        <w:gridCol w:w="2380"/>
        <w:gridCol w:w="2380"/>
      </w:tblGrid>
      <w:tr>
        <w:trPr>
          <w:tblHeader w:val="true"/>
        </w:trPr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指标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最低生存线</w:t>
            </w:r>
          </w:p>
        </w:tc>
        <w:tc>
          <w:tcPr>
            <w:tcW w:type="dxa" w:w="23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投资可接受线</w:t>
            </w:r>
          </w:p>
        </w:tc>
        <w:tc>
          <w:tcPr>
            <w:tcW w:type="dxa" w:w="238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建议扩容线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单车日均订单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约0.84单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约1.39单（4年回收）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&gt;=2.0单且连续90天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车辆可用率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&gt;=85%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&gt;=88%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规范停车率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&gt;=93%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&gt;=95%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90日复购率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&gt;=30%</w:t>
            </w:r>
          </w:p>
        </w:tc>
        <w:tc>
          <w:tcPr>
            <w:tcW w:type="dxa" w:w="23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&gt;=35%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6.4 首期400辆经济性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首期400辆如果达到2.2单/车/日、含税客单MVR20，则年订单约321,200单，含税流水约41.7万美元，不含GST收入约38.6万美元。按固定运营成本18万美元、收入联动成本约3.3万美元估算，税前EBITDA约17.2万美元，对43.7万美元初始投资的静态回收期约2.5年。首期的意义是用更高的订单密度取得更好的单车经济性，而不是追求车辆数量。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七、运营体系与技术方案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7.1 车辆技术建议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优先选择真正具备脚踏能力的电助力车型：额定功率不超过250W，达到25km/h停止助力；最终参数以马尔代夫书面分类为准。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适应海岛盐雾：铝合金或防腐车架，不锈钢紧固件，关键件盐雾测试，线束和接插件防水，控制器与定位器建议IP67。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电池：可换电、独立BMS、阻燃外壳、防拆锁；提供UN38.3、MSDS、运输鉴定和电芯追溯资料。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安全：前后灯、反光件、双制动、车铃、速度限制、跌倒/异常移动告警；一车一编号和可视二维码。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共享耐久性：实心或防刺轮胎、封闭链罩/传动、加强车筐和脚撑；核心易损件在本地备库。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7.2 平台必须具备的功能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000"/>
        <w:gridCol w:w="7360"/>
      </w:tblGrid>
      <w:tr>
        <w:trPr>
          <w:tblHeader w:val="true"/>
        </w:trPr>
        <w:tc>
          <w:tcPr>
            <w:tcW w:type="dxa" w:w="20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模块</w:t>
            </w:r>
          </w:p>
        </w:tc>
        <w:tc>
          <w:tcPr>
            <w:tcW w:type="dxa" w:w="7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必须功能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用户端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手机号/证件校验、扫码开锁、地图、价格、停车点、支付、退款、事故和故障上报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GPS/基站定位、电子锁、SIM、速度和电量、倾倒告警、越界告警、远程断电/锁车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运营端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热力图、调度任务、维修工单、换电任务、停车合规、车辆寿命和备件管理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政府端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实时总量、区域分布、停车合规、事故/投诉、碳减排和月度服务水平报表</w:t>
            </w:r>
          </w:p>
        </w:tc>
      </w:tr>
      <w:tr>
        <w:tc>
          <w:tcPr>
            <w:tcW w:type="dxa" w:w="20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财务端</w:t>
            </w:r>
          </w:p>
        </w:tc>
        <w:tc>
          <w:tcPr>
            <w:tcW w:type="dxa" w:w="7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MVR和USD计价、8% GST、优惠券、酒店/企业账户、对账、退款和审计日志</w:t>
            </w:r>
          </w:p>
        </w:tc>
      </w:tr>
    </w:tbl>
    <w:p>
      <w:pPr>
        <w:spacing w:after="0"/>
      </w:pP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平台定制费10万元人民币和每车每月1.5美元服务费，应在合同中明确是否包含物联网SIM流量、地图服务、支付接口、App上架、服务器、数据备份、版本升级和7x24故障响应。低报价若不包含这些项目，后续年度成本可能显著增加。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7.3 组织与运维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200"/>
        <w:gridCol w:w="1450"/>
        <w:gridCol w:w="1700"/>
        <w:gridCol w:w="4010"/>
      </w:tblGrid>
      <w:tr>
        <w:trPr>
          <w:tblHeader w:val="true"/>
        </w:trPr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岗位/团队</w:t>
            </w:r>
          </w:p>
        </w:tc>
        <w:tc>
          <w:tcPr>
            <w:tcW w:type="dxa" w:w="14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1期400辆</w:t>
            </w:r>
          </w:p>
        </w:tc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1,000辆稳定期</w:t>
            </w:r>
          </w:p>
        </w:tc>
        <w:tc>
          <w:tcPr>
            <w:tcW w:type="dxa" w:w="40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主要职责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项目及政府关系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1至2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合规、政府、关键合作方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运营调度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3至4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6至8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摆车、换电、停车治理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维修技术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3至4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检修、备件、事故车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客服及用户运营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2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3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热线、退款、活动、酒店企业</w:t>
            </w:r>
          </w:p>
        </w:tc>
      </w:tr>
      <w:tr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财务行政</w:t>
            </w:r>
          </w:p>
        </w:tc>
        <w:tc>
          <w:tcPr>
            <w:tcW w:type="dxa" w:w="14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1（可兼职）</w:t>
            </w:r>
          </w:p>
        </w:tc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1至2</w:t>
            </w:r>
          </w:p>
        </w:tc>
        <w:tc>
          <w:tcPr>
            <w:tcW w:type="dxa" w:w="40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税务、对账、采购、人事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八、实施进度与KPI</w:t>
      </w: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8.1 建议时间表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1700"/>
        <w:gridCol w:w="1400"/>
        <w:gridCol w:w="3460"/>
        <w:gridCol w:w="2800"/>
      </w:tblGrid>
      <w:tr>
        <w:trPr>
          <w:tblHeader w:val="true"/>
        </w:trPr>
        <w:tc>
          <w:tcPr>
            <w:tcW w:type="dxa" w:w="17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阶段</w:t>
            </w:r>
          </w:p>
        </w:tc>
        <w:tc>
          <w:tcPr>
            <w:tcW w:type="dxa" w:w="1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时间</w:t>
            </w:r>
          </w:p>
        </w:tc>
        <w:tc>
          <w:tcPr>
            <w:tcW w:type="dxa" w:w="34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主要工作</w:t>
            </w:r>
          </w:p>
        </w:tc>
        <w:tc>
          <w:tcPr>
            <w:tcW w:type="dxa" w:w="28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交付物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政策确认与意向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第1至4周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市政府、交通、警察、海关、MIRA会谈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书面问题清单、项目NOC框架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车型与特许锁定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第5至8周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样车测试、HS预裁定、停车点勘察、合同谈判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车型确认函、特许协议核心条款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系统定制与生产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第9至16周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App、支付、地图、生产和质检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可验收系统、出厂检验报告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运输与现场准备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第14至20周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海运、清关、仓库、充换电和人员培训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车辆到场、运营中心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小样道路测试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第21至24周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20至30辆测试和安全演练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测试报告、问题闭环</w:t>
            </w:r>
          </w:p>
        </w:tc>
      </w:tr>
      <w:tr>
        <w:tc>
          <w:tcPr>
            <w:tcW w:type="dxa" w:w="17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400辆商业试运营</w:t>
            </w:r>
          </w:p>
        </w:tc>
        <w:tc>
          <w:tcPr>
            <w:tcW w:type="dxa" w:w="1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第25周起</w:t>
            </w:r>
          </w:p>
        </w:tc>
        <w:tc>
          <w:tcPr>
            <w:tcW w:type="dxa" w:w="34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分批上线、用户教育、调度优化</w:t>
            </w:r>
          </w:p>
        </w:tc>
        <w:tc>
          <w:tcPr>
            <w:tcW w:type="dxa" w:w="28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30/60/90日运营报告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Noto Sans SC" w:hAnsi="Noto Sans SC" w:eastAsia="Noto Sans SC"/>
          <w:b/>
          <w:i w:val="0"/>
          <w:color w:val="2E74B5"/>
          <w:sz w:val="26"/>
        </w:rPr>
        <w:t>8.2 90天看板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600"/>
        <w:gridCol w:w="2200"/>
        <w:gridCol w:w="2200"/>
        <w:gridCol w:w="2360"/>
      </w:tblGrid>
      <w:tr>
        <w:trPr>
          <w:tblHeader w:val="true"/>
        </w:trPr>
        <w:tc>
          <w:tcPr>
            <w:tcW w:type="dxa" w:w="26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KPI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30天目标</w:t>
            </w:r>
          </w:p>
        </w:tc>
        <w:tc>
          <w:tcPr>
            <w:tcW w:type="dxa" w:w="22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60天目标</w:t>
            </w:r>
          </w:p>
        </w:tc>
        <w:tc>
          <w:tcPr>
            <w:tcW w:type="dxa" w:w="236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8"/>
              </w:rPr>
              <w:t>90天扩容门槛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单车日均订单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&gt;=1.2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&gt;=1.6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&gt;=2.0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车辆可用率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&gt;=85%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&gt;=88%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规范停车率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&gt;=90%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&gt;=93%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&gt;=95%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故障关闭时长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&lt;24小时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&lt;18小时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&lt;12小时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投诉率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&lt;4/千单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&lt;3/千单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&lt;2/千单</w:t>
            </w:r>
          </w:p>
        </w:tc>
      </w:tr>
      <w:tr>
        <w:tc>
          <w:tcPr>
            <w:tcW w:type="dxa" w:w="2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月活用户复购率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&gt;=20%</w:t>
            </w:r>
          </w:p>
        </w:tc>
        <w:tc>
          <w:tcPr>
            <w:tcW w:type="dxa" w:w="22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&gt;=28%</w:t>
            </w:r>
          </w:p>
        </w:tc>
        <w:tc>
          <w:tcPr>
            <w:tcW w:type="dxa" w:w="236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center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8"/>
              </w:rPr>
              <w:t>&gt;=35%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九、主要风险与应对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D0D5DD"/>
          <w:left w:val="single" w:sz="6" w:space="0" w:color="D0D5DD"/>
          <w:bottom w:val="single" w:sz="6" w:space="0" w:color="D0D5DD"/>
          <w:right w:val="single" w:sz="6" w:space="0" w:color="D0D5DD"/>
          <w:insideH w:val="single" w:sz="6" w:space="0" w:color="D0D5DD"/>
          <w:insideV w:val="single" w:sz="6" w:space="0" w:color="D0D5DD"/>
        </w:tblBorders>
      </w:tblPr>
      <w:tblGrid>
        <w:gridCol w:w="2400"/>
        <w:gridCol w:w="1550"/>
        <w:gridCol w:w="5410"/>
      </w:tblGrid>
      <w:tr>
        <w:trPr>
          <w:tblHeader w:val="true"/>
        </w:trPr>
        <w:tc>
          <w:tcPr>
            <w:tcW w:type="dxa" w:w="240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风险</w:t>
            </w:r>
          </w:p>
        </w:tc>
        <w:tc>
          <w:tcPr>
            <w:tcW w:type="dxa" w:w="155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概率/影响</w:t>
            </w:r>
          </w:p>
        </w:tc>
        <w:tc>
          <w:tcPr>
            <w:tcW w:type="dxa" w:w="5410"/>
            <w:shd w:fill="E8F1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jc w:val="center"/>
            </w:pPr>
            <w:r>
              <w:rPr>
                <w:rFonts w:ascii="Noto Sans SC" w:hAnsi="Noto Sans SC" w:eastAsia="Noto Sans SC"/>
                <w:b/>
                <w:i w:val="0"/>
                <w:color w:val="123B4A"/>
                <w:sz w:val="17"/>
              </w:rPr>
              <w:t>应对措施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车辆被归类为电动摩托车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采购前取得车型书面分类；优先低功率脚踏助力；预留登记、保险、头盔方案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外资经营活动不被准入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本地运营主体 + 市政府特许；中国方定位为设备和技术供应商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1,000辆需求不足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400辆先投；KPI触发扩容；供应合同分批交货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盐雾、暴雨和积水损坏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高/中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防腐、防水、备件和预防性保养；停车点避开易涝区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乱停放和公众反感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虚拟停车点、信用分、拍照还车、现场巡检和市政联合执法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锂电池火灾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低/高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合规电芯和BMS；充电隔离、温度监控、消防分区、损伤电池隔离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支付与汇兑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本地MVR收单；酒店USD结算合规确认；供应费外汇预算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系统供应商锁定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中/中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数据可导出、API、源代码托管或退出迁移条款、SLA和违约赔偿</w:t>
            </w:r>
          </w:p>
        </w:tc>
      </w:tr>
      <w:tr>
        <w:tc>
          <w:tcPr>
            <w:tcW w:type="dxa" w:w="24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事故和第三方责任</w:t>
            </w:r>
          </w:p>
        </w:tc>
        <w:tc>
          <w:tcPr>
            <w:tcW w:type="dxa" w:w="15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中/高</w:t>
            </w:r>
          </w:p>
        </w:tc>
        <w:tc>
          <w:tcPr>
            <w:tcW w:type="dxa" w:w="54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before="0" w:after="20" w:line="264" w:lineRule="auto"/>
              <w:jc w:val="left"/>
            </w:pPr>
            <w:r>
              <w:rPr>
                <w:rFonts w:ascii="Noto Sans SC" w:hAnsi="Noto Sans SC" w:eastAsia="Noto Sans SC"/>
                <w:b w:val="0"/>
                <w:i w:val="0"/>
                <w:color w:val="20242A"/>
                <w:sz w:val="17"/>
              </w:rPr>
              <w:t>骑行人身提示、第三方责任险、事故响应、禁行区和限速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十、最终决策建议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原则同意项目进入“政府确认 + 400辆试点”的准备阶段，但暂不批准一次性采购1,000辆。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在任何不可退采购定金支付前，必须取得：Addu City项目NOC/特许框架、交通主管部门车型分类、海关HS及关税预裁定、MIRA税务意见。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采购合同采用“400 + 250 + 350”分批选择权，锁定单价但不强制一次提货；第二、三批以运营KPI为付款先决条件。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项目公司优先采用马尔代夫本地运营主体；中国合作方负责车辆、智能控制器、系统、技术培训和长期备件。涉及中国股权时，再按外资法办理审批。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政府合作谈判目标应是：3至5年可续期特许、指定停车点、公用场地支持、合理的3%至5%流水分成、明确的车辆上限和扩容机制。</w:t>
      </w:r>
    </w:p>
    <w:p>
      <w:pPr>
        <w:numPr>
          <w:ilvl w:val="0"/>
          <w:numId w:val="13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把“单车日均订单&gt;=2.0、可用率&gt;=90%、规范停车率&gt;=95%”写入董事会扩容条件。若90至180天仍低于1.2单/车/日，应停止扩容并缩减车队。</w:t>
      </w:r>
    </w:p>
    <w:p>
      <w:pPr>
        <w:ind w:left="216" w:right="144"/>
        <w:pBdr>
          <w:left w:val="single" w:sz="24" w:space="8" w:color="25704A"/>
        </w:pBdr>
      </w:pPr>
      <w:r>
        <w:rPr>
          <w:rFonts w:ascii="Noto Sans SC" w:hAnsi="Noto Sans SC" w:eastAsia="Noto Sans SC"/>
          <w:b/>
          <w:i w:val="0"/>
          <w:color w:val="25704A"/>
          <w:sz w:val="22"/>
        </w:rPr>
        <w:t xml:space="preserve">投资判断 </w:t>
      </w:r>
      <w:r>
        <w:rPr>
          <w:rFonts w:ascii="Noto Sans SC" w:hAnsi="Noto Sans SC" w:eastAsia="Noto Sans SC"/>
          <w:b w:val="0"/>
          <w:i w:val="0"/>
          <w:color w:val="20242A"/>
          <w:sz w:val="22"/>
        </w:rPr>
        <w:t>这是一个有机会实现3年左右回收的小型城市基础服务项目，但不是“买车即盈利”的轻资产生意。真正的资产是政府特许、停车网络、本地运营能力和用户密度。项目成败取决于合规先行、分期投资和精细运营。</w:t>
      </w:r>
    </w:p>
    <w:p>
      <w:r>
        <w:br w:type="page"/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附录A：待政府确认的问题清单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具体样车型号在马尔代夫法律下属于自行车、电助力自行车、轻便摩托车还是电动摩托车？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每辆车是否需要型式批准、检验、车牌、年度费、第三方保险？用户是否需要驾驶证、最低年龄和头盔？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共享运营应归入租赁、陆路运输还是政府特许公共服务？本地/外资股权分别有什么限制？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Addu City可批准哪些停车点、充换电点和禁停区？是否收取固定许可费或营业额分成？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中国原产整车适用哪个现行HS编码？0%关税所需原产地证、装运和直运证据是什么？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设备进口和自用于服务经营的8% GST如何申报，是否形成可抵扣进项税？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骑行费以MVR和游客USD报价时，收单、结算、退款、发票和外汇规则是什么？</w:t>
      </w:r>
    </w:p>
    <w:p>
      <w:pPr>
        <w:numPr>
          <w:ilvl w:val="0"/>
          <w:numId w:val="10"/>
        </w:numPr>
      </w:pPr>
      <w:r>
        <w:rPr>
          <w:rFonts w:ascii="Noto Sans SC" w:hAnsi="Noto Sans SC" w:eastAsia="Noto Sans SC"/>
          <w:b w:val="0"/>
          <w:i w:val="0"/>
          <w:color w:val="20242A"/>
          <w:sz w:val="22"/>
        </w:rPr>
        <w:t>废旧电池和事故损坏电池应交由哪一家获准机构处理？</w:t>
      </w:r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附录B：主要资料来源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以下资料均于2026年8月4日检索。政策会更新，项目发运前应再次核验，并以主管机关书面文件为准。</w:t>
      </w:r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[1] 马尔代夫统计局：《Addu City Atoll Profile》，2026年2月版：</w:t>
      </w:r>
      <w:hyperlink r:id="rId11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[2] 马尔代夫统计局：Population Projection 2022-2062页面：</w:t>
      </w:r>
      <w:hyperlink r:id="rId12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[3] 马尔代夫经济发展、交通与贸易部：中马自由贸易协定专题页：</w:t>
      </w:r>
      <w:hyperlink r:id="rId13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[4] 中马自贸协定附件1B：马尔代夫关税承诺表（旧HS 8711901011电动自行车为0%、A类）：</w:t>
      </w:r>
      <w:hyperlink r:id="rId14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[5] 马尔代夫经济发展、交通与贸易部：2025年外资准入要求附件1：</w:t>
      </w:r>
      <w:hyperlink r:id="rId15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[6] Invest Maldives：外资审批流程及USD5,000行政费：</w:t>
      </w:r>
      <w:hyperlink r:id="rId16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[7] MIRA：GST概览及税率（一般部门8%）：</w:t>
      </w:r>
      <w:hyperlink r:id="rId17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[8] MIRA：GST常见问题与强制登记条件：</w:t>
      </w:r>
      <w:hyperlink r:id="rId18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[9] MIRA：所得税法（非个人、非银行主体超过MVR500,000部分15%）：</w:t>
      </w:r>
      <w:hyperlink r:id="rId19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[10] 马尔代夫货币管理局：MVR/USD参考汇率，2026年6月15.42：</w:t>
      </w:r>
      <w:hyperlink r:id="rId20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[11] 马尔代夫交通主管部门：车辆年度费用官方平台：</w:t>
      </w:r>
      <w:hyperlink r:id="rId21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[12] Addu City Council官方网站：</w:t>
      </w:r>
      <w:hyperlink r:id="rId22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spacing w:after="80"/>
      </w:pPr>
      <w:r>
        <w:rPr>
          <w:rFonts w:ascii="Noto Sans SC" w:hAnsi="Noto Sans SC" w:eastAsia="Noto Sans SC"/>
          <w:b w:val="0"/>
          <w:i w:val="0"/>
          <w:color w:val="20242A"/>
          <w:sz w:val="18"/>
        </w:rPr>
        <w:t>[13] Hulhumale公共自行车试点报道（市场先例，非法律依据）：</w:t>
      </w:r>
      <w:hyperlink r:id="rId23">
        <w:r>
          <w:rPr>
            <w:rFonts w:ascii="Noto Sans SC" w:hAnsi="Noto Sans SC" w:eastAsia="Noto Sans SC"/>
            <w:color w:val="2E74B5"/>
            <w:u w:val="single"/>
            <w:sz w:val="18"/>
          </w:rPr>
          <w:t>打开来源</w:t>
        </w:r>
      </w:hyperlink>
    </w:p>
    <w:p>
      <w:pPr>
        <w:pStyle w:val="Heading1"/>
      </w:pPr>
      <w:r>
        <w:rPr>
          <w:rFonts w:ascii="Noto Sans SC" w:hAnsi="Noto Sans SC" w:eastAsia="Noto Sans SC"/>
          <w:b/>
          <w:i w:val="0"/>
          <w:color w:val="2E74B5"/>
          <w:sz w:val="32"/>
        </w:rPr>
        <w:t>附录C：测算限制</w:t>
      </w:r>
    </w:p>
    <w:p>
      <w:pPr/>
      <w:r>
        <w:rPr>
          <w:rFonts w:ascii="Noto Sans SC" w:hAnsi="Noto Sans SC" w:eastAsia="Noto Sans SC"/>
          <w:b w:val="0"/>
          <w:i w:val="0"/>
          <w:color w:val="20242A"/>
          <w:sz w:val="22"/>
        </w:rPr>
        <w:t>本计划书属于项目可行性与投资预估，不构成马尔代夫法律、税务、海关或证券意义上的专业意见。由于尚未获得车辆规格书、装箱体积、运输报价、当地工资报价、保险报价、场地租金、政府收费和支付通道费率，相关成本采用审慎假设。投资人应在签署采购合同前用正式报价替换假设，并制作月度现金流、融资和税后IRR模型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SC" w:hAnsi="Noto Sans SC" w:eastAsia="Noto Sans SC"/>
        <w:b w:val="0"/>
        <w:i w:val="0"/>
        <w:color w:val="667085"/>
        <w:sz w:val="18"/>
      </w:rPr>
      <w:t xml:space="preserve">第 </w:t>
    </w:r>
    <w:fldSimple w:instr="PAGE"/>
    <w:r>
      <w:rPr>
        <w:rFonts w:ascii="Noto Sans SC" w:hAnsi="Noto Sans SC" w:eastAsia="Noto Sans SC"/>
        <w:b w:val="0"/>
        <w:i w:val="0"/>
        <w:color w:val="6670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Noto Sans SC" w:hAnsi="Noto Sans SC" w:eastAsia="Noto Sans SC"/>
        <w:b/>
        <w:i w:val="0"/>
        <w:color w:val="667085"/>
        <w:sz w:val="18"/>
      </w:rPr>
      <w:t>ADDU CITY | 共享电动自行车项目计划书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●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  <w:spacing w:after="80" w:line="290" w:lineRule="auto"/>
      </w:pPr>
    </w:lvl>
  </w:abstract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both"/>
    </w:pPr>
    <w:rPr>
      <w:rFonts w:ascii="Noto Sans SC" w:hAnsi="Noto Sans SC" w:eastAsia="Noto Sans SC"/>
      <w:color w:val="2024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Noto Sans SC" w:hAnsi="Noto Sans SC" w:eastAsia="Noto Sans SC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SC" w:hAnsi="Noto Sans SC" w:eastAsia="Noto Sans SC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SC" w:hAnsi="Noto Sans SC" w:eastAsia="Noto Sans SC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statisticsmaldives.gov.mv/mbs/wp-content/uploads/2026/02/Addu-City-Atoll-Profile_160226.pdf" TargetMode="External"/><Relationship Id="rId12" Type="http://schemas.openxmlformats.org/officeDocument/2006/relationships/hyperlink" Target="https://statisticsmaldives.gov.mv/maldives-population-projection-2022-2062/" TargetMode="External"/><Relationship Id="rId13" Type="http://schemas.openxmlformats.org/officeDocument/2006/relationships/hyperlink" Target="https://trade.gov.mv/en/fta-china-maldives/" TargetMode="External"/><Relationship Id="rId14" Type="http://schemas.openxmlformats.org/officeDocument/2006/relationships/hyperlink" Target="https://trade.gov.mv/wp-content/uploads/03_Annex_1_-Part-B_Tariff_Schedule-_of_Maldives.pdf" TargetMode="External"/><Relationship Id="rId15" Type="http://schemas.openxmlformats.org/officeDocument/2006/relationships/hyperlink" Target="https://trade.gov.mv/wp-content/uploads/Annex-1-Foreign-Investment-Entry-Requirements.pdf" TargetMode="External"/><Relationship Id="rId16" Type="http://schemas.openxmlformats.org/officeDocument/2006/relationships/hyperlink" Target="https://trade.gov.mv/en/invest-maldives/" TargetMode="External"/><Relationship Id="rId17" Type="http://schemas.openxmlformats.org/officeDocument/2006/relationships/hyperlink" Target="https://www.mira.gov.mv/Pages/View/gst" TargetMode="External"/><Relationship Id="rId18" Type="http://schemas.openxmlformats.org/officeDocument/2006/relationships/hyperlink" Target="https://www.mira.gov.mv/Pages/View/FAQ_GST" TargetMode="External"/><Relationship Id="rId19" Type="http://schemas.openxmlformats.org/officeDocument/2006/relationships/hyperlink" Target="https://www.mira.gov.mv/Legislations/View/Incometaxact" TargetMode="External"/><Relationship Id="rId20" Type="http://schemas.openxmlformats.org/officeDocument/2006/relationships/hyperlink" Target="https://database.mma.gov.mv/viya/series/4039" TargetMode="External"/><Relationship Id="rId21" Type="http://schemas.openxmlformats.org/officeDocument/2006/relationships/hyperlink" Target="https://pay.transport.gov.mv/?paymentType=vehicle" TargetMode="External"/><Relationship Id="rId22" Type="http://schemas.openxmlformats.org/officeDocument/2006/relationships/hyperlink" Target="https://www.adducity.gov.mv/" TargetMode="External"/><Relationship Id="rId23" Type="http://schemas.openxmlformats.org/officeDocument/2006/relationships/hyperlink" Target="https://edition.mv/sports/368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马尔代夫 Addu City 共享电动自行车项目计划书</dc:title>
  <dc:subject>政策、投放规模、投资测算与投资回报</dc:subject>
  <dc:creator>项目工作组</dc:creator>
  <cp:keywords>Addu City, Maldives, shared e-bike, investment plan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