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</w:pPr>
    </w:p>
    <w:p>
      <w:pPr>
        <w:spacing w:after="280"/>
      </w:pPr>
    </w:p>
    <w:p>
      <w:pPr>
        <w:spacing w:after="280"/>
      </w:pPr>
    </w:p>
    <w:p>
      <w:pPr>
        <w:spacing w:after="280"/>
      </w:pPr>
    </w:p>
    <w:p>
      <w:pPr>
        <w:spacing w:after="320"/>
        <w:jc w:val="center"/>
      </w:pPr>
      <w:r>
        <w:rPr>
          <w:rFonts w:ascii="Noto Sans SC" w:hAnsi="Noto Sans SC" w:eastAsia="Noto Sans SC"/>
          <w:b/>
          <w:i w:val="0"/>
          <w:color w:val="1E6F78"/>
          <w:sz w:val="24"/>
        </w:rPr>
        <w:t>项目可行性与实施方案</w:t>
      </w:r>
    </w:p>
    <w:p>
      <w:pPr>
        <w:spacing w:after="200"/>
        <w:jc w:val="center"/>
      </w:pPr>
      <w:r>
        <w:rPr>
          <w:rFonts w:ascii="Noto Sans SC" w:hAnsi="Noto Sans SC" w:eastAsia="Noto Sans SC"/>
          <w:b/>
          <w:i w:val="0"/>
          <w:color w:val="123B4A"/>
          <w:sz w:val="60"/>
        </w:rPr>
        <w:t>马尔代夫 Addu City</w:t>
      </w:r>
    </w:p>
    <w:p>
      <w:pPr>
        <w:spacing w:after="280"/>
        <w:jc w:val="center"/>
      </w:pPr>
      <w:r>
        <w:rPr>
          <w:rFonts w:ascii="Noto Sans SC" w:hAnsi="Noto Sans SC" w:eastAsia="Noto Sans SC"/>
          <w:b/>
          <w:i w:val="0"/>
          <w:color w:val="123B4A"/>
          <w:sz w:val="50"/>
        </w:rPr>
        <w:t>共享电动自行车项目计划书</w:t>
      </w:r>
    </w:p>
    <w:p>
      <w:pPr>
        <w:spacing w:after="920"/>
        <w:jc w:val="center"/>
      </w:pPr>
      <w:r>
        <w:rPr>
          <w:rFonts w:ascii="Noto Sans SC" w:hAnsi="Noto Sans SC" w:eastAsia="Noto Sans SC"/>
          <w:b w:val="0"/>
          <w:i w:val="0"/>
          <w:color w:val="667085"/>
          <w:sz w:val="24"/>
        </w:rPr>
        <w:t>政策路径 | 投放规模 | 投资测算 | 收益与回报 | 实施计划</w:t>
      </w:r>
    </w:p>
    <w:p>
      <w:pPr>
        <w:jc w:val="center"/>
      </w:pPr>
      <w:r>
        <w:rPr>
          <w:rFonts w:ascii="Noto Sans SC" w:hAnsi="Noto Sans SC" w:eastAsia="Noto Sans SC"/>
          <w:b/>
          <w:i w:val="0"/>
          <w:color w:val="1E6F78"/>
          <w:sz w:val="22"/>
        </w:rPr>
        <w:t>规划口径：首期500辆，运营数据达标后分批增投</w:t>
      </w:r>
    </w:p>
    <w:p>
      <w:pPr>
        <w:spacing w:after="80"/>
        <w:jc w:val="center"/>
      </w:pPr>
      <w:r>
        <w:rPr>
          <w:rFonts w:ascii="Noto Sans SC" w:hAnsi="Noto Sans SC" w:eastAsia="Noto Sans SC"/>
          <w:b w:val="0"/>
          <w:i w:val="0"/>
          <w:color w:val="667085"/>
          <w:sz w:val="20"/>
        </w:rPr>
        <w:t>修订日期：2026年8月5日</w:t>
      </w:r>
    </w:p>
    <w:p>
      <w:pPr>
        <w:jc w:val="center"/>
      </w:pPr>
      <w:r>
        <w:rPr>
          <w:rFonts w:ascii="Noto Sans SC" w:hAnsi="Noto Sans SC" w:eastAsia="Noto Sans SC"/>
          <w:b w:val="0"/>
          <w:i w:val="0"/>
          <w:color w:val="667085"/>
          <w:sz w:val="19"/>
        </w:rPr>
        <w:t>财务币种：美元（USD）；辅助列示人民币（CNY）和马尔代夫拉菲亚（MVR）</w:t>
      </w:r>
    </w:p>
    <w:p>
      <w:r>
        <w:br w:type="page"/>
      </w:r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目录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一、项目背景与市场判断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二、政策、法规与审批路径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三、投放规模与空间布局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四、商业模式与定价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五、投资测算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六、收入、利润与投资回报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七、运营体系与技术方案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八、实施进度与KPI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九、风险与应对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十、最终决策建议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附录：测算口径与主要资料来源</w:t>
      </w:r>
    </w:p>
    <w:p>
      <w:r>
        <w:br w:type="page"/>
      </w:r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执行摘要</w:t>
      </w:r>
    </w:p>
    <w:p>
      <w:pPr>
        <w:ind w:left="216" w:right="144"/>
        <w:pBdr>
          <w:left w:val="single" w:sz="24" w:space="8" w:color="8A6500"/>
        </w:pBdr>
      </w:pPr>
      <w:r>
        <w:rPr>
          <w:rFonts w:ascii="Noto Sans SC" w:hAnsi="Noto Sans SC" w:eastAsia="Noto Sans SC"/>
          <w:b/>
          <w:i w:val="0"/>
          <w:color w:val="8A6500"/>
          <w:sz w:val="22"/>
        </w:rPr>
        <w:t xml:space="preserve">核心建议 </w:t>
      </w:r>
      <w:r>
        <w:rPr>
          <w:rFonts w:ascii="Noto Sans SC" w:hAnsi="Noto Sans SC" w:eastAsia="Noto Sans SC"/>
          <w:b w:val="0"/>
          <w:i w:val="0"/>
          <w:color w:val="20242A"/>
          <w:sz w:val="22"/>
        </w:rPr>
        <w:t>首期按500辆建设，在Hithadhoo-Maradhoo-Feydhoo-Gan连续道路走廊集中运营90至180天；只有当单车日均订单不低于2.2单、可用率不低于90%、规范停车率不低于95%，且高峰缺车率持续高于15%时，才按“增加250辆至750辆、再增加250辆至1,000辆”的节奏扩容。</w:t>
      </w: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Addu City不是“约十万人口”的城市。马尔代夫统计局2026年发布的最新Addu City人口预测资料显示，2022年全市常住人口约27,305人，其中行政岛约26,432人；2042年全市约28,074人。首期500辆约相当于每55名常住人口配置1辆，既能形成基本网络密度，又把需求不足时的闲置风险控制在1,000辆一次性投放的一半左右。</w:t>
      </w: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政策上，项目具备绿色交通和旅游出行价值，但落地关键不在采购，而在运营资格和车辆属性。中马自贸协定税则将“电动自行车”列为旧版HS 8711901011，基准税率0%，类别A，满足中国原产地规则并提交合格原产地证明时，进口关税原则上为0。与此同时，马尔代夫外资准入清单将一般租赁和资产出租列为不对新外资开放；陆路运输服务虽可100%外资，但最低投资额为100万美元且需与政府签订特许或协议。因此，最稳妥结构是“Addu City Council授权/特许 + 马尔代夫本地运营公司 + 中国设备与平台供应商”。</w:t>
      </w: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按用户最新报价，车辆及控制器为CNY4,000/辆，平台定制费CNY500,000，平台服务费固定为USD5,000/月。首期500辆含海运、进口GST现金预留、备件、停车及充换电设施、工作场地、合规、市场启动、首6个月平台费、其他营运资金和预备费，估算总投资约CNY5,200,000（约USD722,222）。基准情景按2.2单/车/日、含GST平均每单MVR20测算，年含税流水约USD520,752，税前EBITDA约USD195,518，静态回收期约3.7年。若仅1.5单/车/日，回收期将延长至约13年，因此必须以订单密度触发后续增投。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关键结论一览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1700"/>
        <w:gridCol w:w="2450"/>
        <w:gridCol w:w="5210"/>
      </w:tblGrid>
      <w:tr>
        <w:trPr>
          <w:tblHeader w:val="true"/>
        </w:trPr>
        <w:tc>
          <w:tcPr>
            <w:tcW w:type="dxa" w:w="17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事项</w:t>
            </w:r>
          </w:p>
        </w:tc>
        <w:tc>
          <w:tcPr>
            <w:tcW w:type="dxa" w:w="245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判断</w:t>
            </w:r>
          </w:p>
        </w:tc>
        <w:tc>
          <w:tcPr>
            <w:tcW w:type="dxa" w:w="521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建议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城市人口</w:t>
            </w:r>
          </w:p>
        </w:tc>
        <w:tc>
          <w:tcPr>
            <w:tcW w:type="dxa" w:w="2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最新官方资料约2.7万人，不支持首日投放1,000辆</w:t>
            </w:r>
          </w:p>
        </w:tc>
        <w:tc>
          <w:tcPr>
            <w:tcW w:type="dxa" w:w="52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首期500辆，按250辆分两次扩容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进口关税</w:t>
            </w:r>
          </w:p>
        </w:tc>
        <w:tc>
          <w:tcPr>
            <w:tcW w:type="dxa" w:w="2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中马自贸协定下电动自行车原则上0%</w:t>
            </w:r>
          </w:p>
        </w:tc>
        <w:tc>
          <w:tcPr>
            <w:tcW w:type="dxa" w:w="52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发运前取得海关预裁定并准备原产地证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经营主体</w:t>
            </w:r>
          </w:p>
        </w:tc>
        <w:tc>
          <w:tcPr>
            <w:tcW w:type="dxa" w:w="2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纯外资“租赁”路径存在准入障碍</w:t>
            </w:r>
          </w:p>
        </w:tc>
        <w:tc>
          <w:tcPr>
            <w:tcW w:type="dxa" w:w="52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采用本地运营主体并争取市政府特许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车辆合规</w:t>
            </w:r>
          </w:p>
        </w:tc>
        <w:tc>
          <w:tcPr>
            <w:tcW w:type="dxa" w:w="2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电助力车与油门式电动车可能适用不同规则</w:t>
            </w:r>
          </w:p>
        </w:tc>
        <w:tc>
          <w:tcPr>
            <w:tcW w:type="dxa" w:w="52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优先250W脚踏助力、25km/h断电车型并书面确认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财务阈值</w:t>
            </w:r>
          </w:p>
        </w:tc>
        <w:tc>
          <w:tcPr>
            <w:tcW w:type="dxa" w:w="2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500辆在2.2单/车/日时回收约3.7年</w:t>
            </w:r>
          </w:p>
        </w:tc>
        <w:tc>
          <w:tcPr>
            <w:tcW w:type="dxa" w:w="52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扩容门槛设为2.2单/车/日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一、项目背景与市场判断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1.1 项目定位</w:t>
      </w: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项目拟以无桩或“虚拟停车点”模式，在Addu City提供短途共享电动自行车服务。车辆、智能控制器、定位锁和后台系统从中国采购，本地公司负责牌照、运营、调度、维修、充换电、客服和政府关系。目标客户包括本地居民通勤、学生和雇员接驳、机场及酒店游客、周末休闲骑行四类。</w:t>
      </w: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Addu的地理条件适合两轮出行：Hithadhoo、Maradhoo、Maradhoo-Feydhoo、Feydhoo和Gan由约16公里的Link Road连接，路线相对平坦，机场、医院、学校、商业区和居住区沿走廊分布。共享电动车的价值不是替代长途公交，而是补充2至8公里的短途和“最后一公里”。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1.2 人口与潜在需求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2600"/>
        <w:gridCol w:w="2300"/>
        <w:gridCol w:w="4460"/>
      </w:tblGrid>
      <w:tr>
        <w:trPr>
          <w:tblHeader w:val="true"/>
        </w:trPr>
        <w:tc>
          <w:tcPr>
            <w:tcW w:type="dxa" w:w="26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指标</w:t>
            </w:r>
          </w:p>
        </w:tc>
        <w:tc>
          <w:tcPr>
            <w:tcW w:type="dxa" w:w="23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官方/规划口径</w:t>
            </w:r>
          </w:p>
        </w:tc>
        <w:tc>
          <w:tcPr>
            <w:tcW w:type="dxa" w:w="446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对项目的含义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Addu City常住人口（2022）</w:t>
            </w:r>
          </w:p>
        </w:tc>
        <w:tc>
          <w:tcPr>
            <w:tcW w:type="dxa" w:w="2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约27,305人</w:t>
            </w:r>
          </w:p>
        </w:tc>
        <w:tc>
          <w:tcPr>
            <w:tcW w:type="dxa" w:w="44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本地市场属于小城市规模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行政岛常住人口（2022）</w:t>
            </w:r>
          </w:p>
        </w:tc>
        <w:tc>
          <w:tcPr>
            <w:tcW w:type="dxa" w:w="2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约26,432人</w:t>
            </w:r>
          </w:p>
        </w:tc>
        <w:tc>
          <w:tcPr>
            <w:tcW w:type="dxa" w:w="44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主要服务对象集中在可运营岛屿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全市常住人口（2042预测）</w:t>
            </w:r>
          </w:p>
        </w:tc>
        <w:tc>
          <w:tcPr>
            <w:tcW w:type="dxa" w:w="2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约28,074人</w:t>
            </w:r>
          </w:p>
        </w:tc>
        <w:tc>
          <w:tcPr>
            <w:tcW w:type="dxa" w:w="44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人口增长有限，不能依赖自然增长消化车辆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1,000辆人口配比</w:t>
            </w:r>
          </w:p>
        </w:tc>
        <w:tc>
          <w:tcPr>
            <w:tcW w:type="dxa" w:w="2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约1辆/27人</w:t>
            </w:r>
          </w:p>
        </w:tc>
        <w:tc>
          <w:tcPr>
            <w:tcW w:type="dxa" w:w="44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初始投放密度偏高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500辆人口配比</w:t>
            </w:r>
          </w:p>
        </w:tc>
        <w:tc>
          <w:tcPr>
            <w:tcW w:type="dxa" w:w="2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约1辆/55人</w:t>
            </w:r>
          </w:p>
        </w:tc>
        <w:tc>
          <w:tcPr>
            <w:tcW w:type="dxa" w:w="44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兼顾网络覆盖与风险控制</w:t>
            </w:r>
          </w:p>
        </w:tc>
      </w:tr>
    </w:tbl>
    <w:p>
      <w:pPr>
        <w:spacing w:after="0"/>
      </w:pP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以行政岛人口2.64万人估算，18至64岁、具备智能手机和电子支付能力、且愿意尝试共享两轮出行的可触达人群可先按9,000至13,000人测算。如果其中5%至8%在某一工作日使用，约产生450至1,040名用户。按每名用户1.1至1.3单计算，对应500至1,350单/日。500辆在基准情景下需要约1,100单/日，处于可测需求区间的上沿，适合通过本地通勤、游客和B2B客户共同验证；一次投放1,000辆则需要更高且尚未验证的需求。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1.3 市场机会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通勤补位：公交班次与站点覆盖之外的2至8公里出行，可由共享电动车补充。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旅游体验：Gan机场、酒店、历史遗址、自然公园和海岸路线可设计游客骑行产品。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绿色交通：马尔代夫已在Hulhumale提出太阳能充电公共自行车试点，说明公共部门对低碳微出行有政策兴趣。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城市治理数字化：平台可向市政府提供热力图、停车合规、碳减排和车辆状态数据。</w:t>
      </w:r>
    </w:p>
    <w:p>
      <w:pPr>
        <w:ind w:left="216" w:right="144"/>
        <w:pBdr>
          <w:left w:val="single" w:sz="24" w:space="8" w:color="8A6500"/>
        </w:pBdr>
      </w:pPr>
      <w:r>
        <w:rPr>
          <w:rFonts w:ascii="Noto Sans SC" w:hAnsi="Noto Sans SC" w:eastAsia="Noto Sans SC"/>
          <w:b/>
          <w:i w:val="0"/>
          <w:color w:val="8A6500"/>
          <w:sz w:val="22"/>
        </w:rPr>
        <w:t xml:space="preserve">市场边界 </w:t>
      </w:r>
      <w:r>
        <w:rPr>
          <w:rFonts w:ascii="Noto Sans SC" w:hAnsi="Noto Sans SC" w:eastAsia="Noto Sans SC"/>
          <w:b w:val="0"/>
          <w:i w:val="0"/>
          <w:color w:val="20242A"/>
          <w:sz w:val="22"/>
        </w:rPr>
        <w:t>Addu现有摩托车、出租车和公交均是竞争方式。共享电动车不能只靠“环保概念”，必须在取车便利、价格、车辆可靠性和停车秩序上形成实际优势。</w:t>
      </w:r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二、政策、法规与审批路径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2.1 现阶段能够确认的政策事实</w:t>
      </w:r>
    </w:p>
    <w:p>
      <w:pPr>
        <w:numPr>
          <w:ilvl w:val="0"/>
          <w:numId w:val="12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国家交通主管部门负责陆路交通、车辆登记和年度车辆费用；其官方平台已经运行车辆年度费用查询及缴费功能。项目车辆是否按自行车、助力自行车、轻便摩托车或电动摩托车登记，必须由主管部门按具体车型书面认定。</w:t>
      </w:r>
    </w:p>
    <w:p>
      <w:pPr>
        <w:numPr>
          <w:ilvl w:val="0"/>
          <w:numId w:val="12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Addu City Council负责本地公共空间、城市设施和市级项目协调。无桩车辆在道路边、公交站、机场周边、学校、医院、旅游点及公共土地停放，均应通过市政府批准的停车点清单、地图和运营协议管理。</w:t>
      </w:r>
    </w:p>
    <w:p>
      <w:pPr>
        <w:numPr>
          <w:ilvl w:val="0"/>
          <w:numId w:val="12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中马自由贸易协定自2025年1月1日起生效。协定税则中旧版HS 8711901011“Bicycle (Electric)”基准税率为0%、类别A；因此中国原产电动自行车原则上0关税。新HS版本通常对应871160，最终以马尔代夫海关预裁定为准。</w:t>
      </w:r>
    </w:p>
    <w:p>
      <w:pPr>
        <w:numPr>
          <w:ilvl w:val="0"/>
          <w:numId w:val="12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一般部门GST税率为8%，提供共享出行服务的本地经营主体应办理GST登记并以含税价格向消费者展示。进口设备用于项目经营时的GST处理、进项抵扣和计税时点，应由MIRA或当地税务顾问书面确认。</w:t>
      </w:r>
    </w:p>
    <w:p>
      <w:pPr>
        <w:numPr>
          <w:ilvl w:val="0"/>
          <w:numId w:val="12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马尔代夫企业所得税对非个人、非银行主体的应税所得超过MVR500,000部分适用15%税率。财务模型的EBITDA不是税后利润，正式投资决策应增加折旧、资本津贴、利息和所得税测算。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2.2 外资准入和推荐项目结构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1800"/>
        <w:gridCol w:w="1350"/>
        <w:gridCol w:w="3780"/>
        <w:gridCol w:w="2430"/>
      </w:tblGrid>
      <w:tr>
        <w:trPr>
          <w:tblHeader w:val="true"/>
        </w:trPr>
        <w:tc>
          <w:tcPr>
            <w:tcW w:type="dxa" w:w="18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可选结构</w:t>
            </w:r>
          </w:p>
        </w:tc>
        <w:tc>
          <w:tcPr>
            <w:tcW w:type="dxa" w:w="135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政策可行性</w:t>
            </w:r>
          </w:p>
        </w:tc>
        <w:tc>
          <w:tcPr>
            <w:tcW w:type="dxa" w:w="378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优缺点</w:t>
            </w:r>
          </w:p>
        </w:tc>
        <w:tc>
          <w:tcPr>
            <w:tcW w:type="dxa" w:w="243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建议</w:t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中国投资者直接设立100%外资租赁公司</w:t>
            </w:r>
          </w:p>
        </w:tc>
        <w:tc>
          <w:tcPr>
            <w:tcW w:type="dxa" w:w="13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高风险</w:t>
            </w:r>
          </w:p>
        </w:tc>
        <w:tc>
          <w:tcPr>
            <w:tcW w:type="dxa" w:w="37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2025准入清单将一般租赁/资产出租列为关闭</w:t>
            </w:r>
          </w:p>
        </w:tc>
        <w:tc>
          <w:tcPr>
            <w:tcW w:type="dxa" w:w="243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不采用</w:t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100%外资陆路运输公司</w:t>
            </w:r>
          </w:p>
        </w:tc>
        <w:tc>
          <w:tcPr>
            <w:tcW w:type="dxa" w:w="13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有条件</w:t>
            </w:r>
          </w:p>
        </w:tc>
        <w:tc>
          <w:tcPr>
            <w:tcW w:type="dxa" w:w="37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最低投资100万美元，并需政府特许/协议</w:t>
            </w:r>
          </w:p>
        </w:tc>
        <w:tc>
          <w:tcPr>
            <w:tcW w:type="dxa" w:w="243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仅在政府明确将项目归类为陆运服务时考虑</w:t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马尔代夫本地运营公司 + 中国供应商</w:t>
            </w:r>
          </w:p>
        </w:tc>
        <w:tc>
          <w:tcPr>
            <w:tcW w:type="dxa" w:w="13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较高</w:t>
            </w:r>
          </w:p>
        </w:tc>
        <w:tc>
          <w:tcPr>
            <w:tcW w:type="dxa" w:w="37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本地主体持牌运营；中国方销售车辆、系统并提供技术服务</w:t>
            </w:r>
          </w:p>
        </w:tc>
        <w:tc>
          <w:tcPr>
            <w:tcW w:type="dxa" w:w="243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优先方案</w:t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Addu City特许项目公司/SPV</w:t>
            </w:r>
          </w:p>
        </w:tc>
        <w:tc>
          <w:tcPr>
            <w:tcW w:type="dxa" w:w="13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最高但谈判较重</w:t>
            </w:r>
          </w:p>
        </w:tc>
        <w:tc>
          <w:tcPr>
            <w:tcW w:type="dxa" w:w="37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以市政府协议明确公共空间、期限、数据、服务水平和收益分配</w:t>
            </w:r>
          </w:p>
        </w:tc>
        <w:tc>
          <w:tcPr>
            <w:tcW w:type="dxa" w:w="243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中长期最佳</w:t>
            </w:r>
          </w:p>
        </w:tc>
      </w:tr>
    </w:tbl>
    <w:p>
      <w:pPr>
        <w:spacing w:after="0"/>
      </w:pP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推荐合同链条为：Addu City Council与本地运营公司签署3至5年可续期的微出行特许/合作协议；本地运营公司与中国车辆供应商签采购及质保协议；与中国平台供应商签系统许可、数据处理和服务级别协议；中国投资人如需参与股权，则在马尔代夫外资审批和活动分类明确后进入。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2.3 必须取得的书面文件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1700"/>
        <w:gridCol w:w="4990"/>
        <w:gridCol w:w="2670"/>
      </w:tblGrid>
      <w:tr>
        <w:trPr>
          <w:tblHeader w:val="true"/>
        </w:trPr>
        <w:tc>
          <w:tcPr>
            <w:tcW w:type="dxa" w:w="17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责任方</w:t>
            </w:r>
          </w:p>
        </w:tc>
        <w:tc>
          <w:tcPr>
            <w:tcW w:type="dxa" w:w="499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必须确认/取得的文件</w:t>
            </w:r>
          </w:p>
        </w:tc>
        <w:tc>
          <w:tcPr>
            <w:tcW w:type="dxa" w:w="267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未取得的后果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Addu City Council</w:t>
            </w:r>
          </w:p>
        </w:tc>
        <w:tc>
          <w:tcPr>
            <w:tcW w:type="dxa" w:w="499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项目NOC或特许协议；停车点和充换电点清单；车队上限；市政费用/分成</w:t>
            </w:r>
          </w:p>
        </w:tc>
        <w:tc>
          <w:tcPr>
            <w:tcW w:type="dxa" w:w="267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车辆可能被清理，无法稳定运营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交通主管部门</w:t>
            </w:r>
          </w:p>
        </w:tc>
        <w:tc>
          <w:tcPr>
            <w:tcW w:type="dxa" w:w="499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车型分类、型式/技术准入、逐车登记、牌照、年费、驾驶证、年龄、头盔和限速要求</w:t>
            </w:r>
          </w:p>
        </w:tc>
        <w:tc>
          <w:tcPr>
            <w:tcW w:type="dxa" w:w="267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整批车辆可能无法上路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Maldives Police Service</w:t>
            </w:r>
          </w:p>
        </w:tc>
        <w:tc>
          <w:tcPr>
            <w:tcW w:type="dxa" w:w="499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道路安全方案、禁行路段、事故处理和执法联络机制</w:t>
            </w:r>
          </w:p>
        </w:tc>
        <w:tc>
          <w:tcPr>
            <w:tcW w:type="dxa" w:w="267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事故和投诉风险高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Maldives Customs</w:t>
            </w:r>
          </w:p>
        </w:tc>
        <w:tc>
          <w:tcPr>
            <w:tcW w:type="dxa" w:w="499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HS归类预裁定、0%关税适用、原产地证格式、锂电运输文件</w:t>
            </w:r>
          </w:p>
        </w:tc>
        <w:tc>
          <w:tcPr>
            <w:tcW w:type="dxa" w:w="267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补税、滞港或清关延误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MIRA</w:t>
            </w:r>
          </w:p>
        </w:tc>
        <w:tc>
          <w:tcPr>
            <w:tcW w:type="dxa" w:w="499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GST登记、进口/自用设备GST处理、定价和发票、所得税</w:t>
            </w:r>
          </w:p>
        </w:tc>
        <w:tc>
          <w:tcPr>
            <w:tcW w:type="dxa" w:w="267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税务处罚或现金流误判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EPA/市政环保部门</w:t>
            </w:r>
          </w:p>
        </w:tc>
        <w:tc>
          <w:tcPr>
            <w:tcW w:type="dxa" w:w="499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废旧电池、损坏车辆、消防和危废处置方案</w:t>
            </w:r>
          </w:p>
        </w:tc>
        <w:tc>
          <w:tcPr>
            <w:tcW w:type="dxa" w:w="267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环境合规及声誉风险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电力/通信/支付机构</w:t>
            </w:r>
          </w:p>
        </w:tc>
        <w:tc>
          <w:tcPr>
            <w:tcW w:type="dxa" w:w="499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充电用电、物联网SIM、短信、支付结算及退款</w:t>
            </w:r>
          </w:p>
        </w:tc>
        <w:tc>
          <w:tcPr>
            <w:tcW w:type="dxa" w:w="267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平台无法闭环</w:t>
            </w:r>
          </w:p>
        </w:tc>
      </w:tr>
    </w:tbl>
    <w:p>
      <w:pPr>
        <w:spacing w:after="0"/>
      </w:pPr>
    </w:p>
    <w:p>
      <w:pPr>
        <w:ind w:left="216" w:right="144"/>
        <w:pBdr>
          <w:left w:val="single" w:sz="24" w:space="8" w:color="9B1C1C"/>
        </w:pBdr>
      </w:pPr>
      <w:r>
        <w:rPr>
          <w:rFonts w:ascii="Noto Sans SC" w:hAnsi="Noto Sans SC" w:eastAsia="Noto Sans SC"/>
          <w:b/>
          <w:i w:val="0"/>
          <w:color w:val="9B1C1C"/>
          <w:sz w:val="22"/>
        </w:rPr>
        <w:t xml:space="preserve">特别提醒 </w:t>
      </w:r>
      <w:r>
        <w:rPr>
          <w:rFonts w:ascii="Noto Sans SC" w:hAnsi="Noto Sans SC" w:eastAsia="Noto Sans SC"/>
          <w:b w:val="0"/>
          <w:i w:val="0"/>
          <w:color w:val="20242A"/>
          <w:sz w:val="22"/>
        </w:rPr>
        <w:t>不要先采购500辆再去确认车辆分类。应先用20至30辆样车完成书面分类和道路测试；油门式、无脚踏或速度较高的车型，更可能被视为电动摩托车并触发登记、驾驶证、保险和头盔要求。车辆技术参数应写入政府书面确认的附件。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2.4 建议写入市政府协议的管理条款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许可期限3至5年；是否独家；扩容规则和最高车队数量。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采用“虚拟停车点”而非全域任意停车；禁停区包括主车道、消防通道、学校门口、医院急救区和狭窄人行空间。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违规停车处置时限：核心区域30分钟、一般区域2小时；超时罚则和拖移机制。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车辆可用率、故障率、事故报告、投诉响应和数据报送标准。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市政府收费建议采用营业流水3%至5%的分成，避免前期高额固定特许费挤压项目现金流。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约定试点失败的退出机制，包括车辆撤场、押金返还、数据删除和公共设施恢复。</w:t>
      </w:r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三、投放规模与空间布局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3.1 推荐分期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1650"/>
        <w:gridCol w:w="1450"/>
        <w:gridCol w:w="2860"/>
        <w:gridCol w:w="1450"/>
        <w:gridCol w:w="1950"/>
      </w:tblGrid>
      <w:tr>
        <w:trPr>
          <w:tblHeader w:val="true"/>
        </w:trPr>
        <w:tc>
          <w:tcPr>
            <w:tcW w:type="dxa" w:w="165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阶段</w:t>
            </w:r>
          </w:p>
        </w:tc>
        <w:tc>
          <w:tcPr>
            <w:tcW w:type="dxa" w:w="145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车辆数</w:t>
            </w:r>
          </w:p>
        </w:tc>
        <w:tc>
          <w:tcPr>
            <w:tcW w:type="dxa" w:w="286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区域</w:t>
            </w:r>
          </w:p>
        </w:tc>
        <w:tc>
          <w:tcPr>
            <w:tcW w:type="dxa" w:w="145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持续时间</w:t>
            </w:r>
          </w:p>
        </w:tc>
        <w:tc>
          <w:tcPr>
            <w:tcW w:type="dxa" w:w="195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扩容条件</w:t>
            </w:r>
          </w:p>
        </w:tc>
      </w:tr>
      <w:tr>
        <w:tc>
          <w:tcPr>
            <w:tcW w:type="dxa" w:w="16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0期：合规和小样测试</w:t>
            </w:r>
          </w:p>
        </w:tc>
        <w:tc>
          <w:tcPr>
            <w:tcW w:type="dxa" w:w="1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20至30辆</w:t>
            </w:r>
          </w:p>
        </w:tc>
        <w:tc>
          <w:tcPr>
            <w:tcW w:type="dxa" w:w="28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封闭场地及政府指定道路</w:t>
            </w:r>
          </w:p>
        </w:tc>
        <w:tc>
          <w:tcPr>
            <w:tcW w:type="dxa" w:w="1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4至6周</w:t>
            </w:r>
          </w:p>
        </w:tc>
        <w:tc>
          <w:tcPr>
            <w:tcW w:type="dxa" w:w="1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车型、系统、制动、防腐、定位测试通过</w:t>
            </w:r>
          </w:p>
        </w:tc>
      </w:tr>
      <w:tr>
        <w:tc>
          <w:tcPr>
            <w:tcW w:type="dxa" w:w="16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1期：商业试运营</w:t>
            </w:r>
          </w:p>
        </w:tc>
        <w:tc>
          <w:tcPr>
            <w:tcW w:type="dxa" w:w="1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500辆</w:t>
            </w:r>
          </w:p>
        </w:tc>
        <w:tc>
          <w:tcPr>
            <w:tcW w:type="dxa" w:w="28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Hithadhoo至Gan主走廊</w:t>
            </w:r>
          </w:p>
        </w:tc>
        <w:tc>
          <w:tcPr>
            <w:tcW w:type="dxa" w:w="1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90至180天</w:t>
            </w:r>
          </w:p>
        </w:tc>
        <w:tc>
          <w:tcPr>
            <w:tcW w:type="dxa" w:w="1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单车日均订单&gt;=2.2；可用率&gt;=90%</w:t>
            </w:r>
          </w:p>
        </w:tc>
      </w:tr>
      <w:tr>
        <w:tc>
          <w:tcPr>
            <w:tcW w:type="dxa" w:w="16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2期：走廊加密</w:t>
            </w:r>
          </w:p>
        </w:tc>
        <w:tc>
          <w:tcPr>
            <w:tcW w:type="dxa" w:w="1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增加250辆，总750辆</w:t>
            </w:r>
          </w:p>
        </w:tc>
        <w:tc>
          <w:tcPr>
            <w:tcW w:type="dxa" w:w="28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学校、医院、商业区、机场与酒店</w:t>
            </w:r>
          </w:p>
        </w:tc>
        <w:tc>
          <w:tcPr>
            <w:tcW w:type="dxa" w:w="1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3至6个月</w:t>
            </w:r>
          </w:p>
        </w:tc>
        <w:tc>
          <w:tcPr>
            <w:tcW w:type="dxa" w:w="1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高峰缺车率&gt;15%；规范停车&gt;=95%</w:t>
            </w:r>
          </w:p>
        </w:tc>
      </w:tr>
      <w:tr>
        <w:tc>
          <w:tcPr>
            <w:tcW w:type="dxa" w:w="16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3期：全市上限</w:t>
            </w:r>
          </w:p>
        </w:tc>
        <w:tc>
          <w:tcPr>
            <w:tcW w:type="dxa" w:w="1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增加250辆，总1,000辆</w:t>
            </w:r>
          </w:p>
        </w:tc>
        <w:tc>
          <w:tcPr>
            <w:tcW w:type="dxa" w:w="28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成熟区域加密，评估Hulhumeedhoo</w:t>
            </w:r>
          </w:p>
        </w:tc>
        <w:tc>
          <w:tcPr>
            <w:tcW w:type="dxa" w:w="1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数据触发</w:t>
            </w:r>
          </w:p>
        </w:tc>
        <w:tc>
          <w:tcPr>
            <w:tcW w:type="dxa" w:w="1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连续90天单车日均订单&gt;=2.2</w:t>
            </w:r>
          </w:p>
        </w:tc>
      </w:tr>
    </w:tbl>
    <w:p>
      <w:pPr>
        <w:spacing w:after="0"/>
      </w:pP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3.2 首期500辆建议分布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2600"/>
        <w:gridCol w:w="1800"/>
        <w:gridCol w:w="4960"/>
      </w:tblGrid>
      <w:tr>
        <w:trPr>
          <w:tblHeader w:val="true"/>
        </w:trPr>
        <w:tc>
          <w:tcPr>
            <w:tcW w:type="dxa" w:w="26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功能区</w:t>
            </w:r>
          </w:p>
        </w:tc>
        <w:tc>
          <w:tcPr>
            <w:tcW w:type="dxa" w:w="18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建议车辆</w:t>
            </w:r>
          </w:p>
        </w:tc>
        <w:tc>
          <w:tcPr>
            <w:tcW w:type="dxa" w:w="496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主要节点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Hithadhoo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185</w:t>
            </w:r>
          </w:p>
        </w:tc>
        <w:tc>
          <w:tcPr>
            <w:tcW w:type="dxa" w:w="4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住宅区、商业区、医院、学校、政府机构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Maradhoo及Maradhoo-Feydhoo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100</w:t>
            </w:r>
          </w:p>
        </w:tc>
        <w:tc>
          <w:tcPr>
            <w:tcW w:type="dxa" w:w="4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居住、零售、Link Road接驳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Feydhoo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100</w:t>
            </w:r>
          </w:p>
        </w:tc>
        <w:tc>
          <w:tcPr>
            <w:tcW w:type="dxa" w:w="4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住宅、码头、商业及机场接驳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Gan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75</w:t>
            </w:r>
          </w:p>
        </w:tc>
        <w:tc>
          <w:tcPr>
            <w:tcW w:type="dxa" w:w="4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机场、酒店、就业点、游客路线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机动调度/维修备用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40</w:t>
            </w:r>
          </w:p>
        </w:tc>
        <w:tc>
          <w:tcPr>
            <w:tcW w:type="dxa" w:w="4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仓库、活动和高峰补充</w:t>
            </w:r>
          </w:p>
        </w:tc>
      </w:tr>
    </w:tbl>
    <w:p>
      <w:pPr>
        <w:spacing w:after="0"/>
      </w:pP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首期应布设80至100个虚拟停车点，平均每点4至6辆，核心节点间距约300至500米。停车点不必全部建设实体桩，但应有地面标识、App引导和电子围栏；机场、医院、学校和酒店等高价值点可安装带顶棚的实体车架。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3.3 为什么首期采用500辆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形成网络效应：Addu主要运营走廊约16公里，500辆可覆盖80至100个虚拟停车点，使居民在核心区域较容易找到车辆；规模过小会因取车不便抑制真实需求。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控制首次资本风险：相较一次采购1,000辆，500辆将首批车辆采购额控制在CNY2,000,000，并避免在需求未验证时形成大量闲置、锈蚀和电池衰减。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摊薄高额系统固定成本：CNY500,000定制费和每月USD5,000服务费具有明显固定成本属性。500辆时定制费摊至CNY1,000/辆，年度服务费摊至USD120/辆；若车队过小，单车成本会过高。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保留扩容弹性：先验证居民通勤、游客骑行和酒店/企业订单，再以250辆为批次扩容，可以把资金投入与真实订单、停车秩序和运维能力匹配。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便于供应链安排：采购合同可采用“500 + 250 + 250”选择权，首批锁定技术规格和价格，后两批只有在运营KPI达标后才生效。</w:t>
      </w:r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四、商业模式与定价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4.1 收入结构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按次骑行收入：项目的基本盘，采用起步价 + 超时费。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会员收入：周卡、月卡、通勤卡和企业员工卡，提高复购和现金预收。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游客产品：日票、两日票、酒店联名码、机场至酒店接驳套餐。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B2B合作：酒店、学校、医院、机场和大型雇主购买骑行额度。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广告和冠名：车筐、挡泥板、App开屏及停车点冠名；财务基准情景暂不计入。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政府绿色交通支持：停车点、充电场地、电费或宣传支持；基准情景暂不计补贴。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4.2 建议价格（均为含8% GST展示价）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1900"/>
        <w:gridCol w:w="2400"/>
        <w:gridCol w:w="1900"/>
        <w:gridCol w:w="3160"/>
      </w:tblGrid>
      <w:tr>
        <w:trPr>
          <w:tblHeader w:val="true"/>
        </w:trPr>
        <w:tc>
          <w:tcPr>
            <w:tcW w:type="dxa" w:w="19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产品</w:t>
            </w:r>
          </w:p>
        </w:tc>
        <w:tc>
          <w:tcPr>
            <w:tcW w:type="dxa" w:w="24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建议价格</w:t>
            </w:r>
          </w:p>
        </w:tc>
        <w:tc>
          <w:tcPr>
            <w:tcW w:type="dxa" w:w="19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适用人群</w:t>
            </w:r>
          </w:p>
        </w:tc>
        <w:tc>
          <w:tcPr>
            <w:tcW w:type="dxa" w:w="316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说明</w:t>
            </w:r>
          </w:p>
        </w:tc>
      </w:tr>
      <w:tr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居民按次</w:t>
            </w:r>
          </w:p>
        </w:tc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MVR15/前15分钟；其后MVR1/分钟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本地短途</w:t>
            </w:r>
          </w:p>
        </w:tc>
        <w:tc>
          <w:tcPr>
            <w:tcW w:type="dxa" w:w="31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约合USD0.97起</w:t>
            </w:r>
          </w:p>
        </w:tc>
      </w:tr>
      <w:tr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居民月卡</w:t>
            </w:r>
          </w:p>
        </w:tc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MVR299/月，含20次15分钟骑行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高频通勤</w:t>
            </w:r>
          </w:p>
        </w:tc>
        <w:tc>
          <w:tcPr>
            <w:tcW w:type="dxa" w:w="31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超出次数按次计费</w:t>
            </w:r>
          </w:p>
        </w:tc>
      </w:tr>
      <w:tr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游客按次</w:t>
            </w:r>
          </w:p>
        </w:tc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USD2/30分钟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短时游客</w:t>
            </w:r>
          </w:p>
        </w:tc>
        <w:tc>
          <w:tcPr>
            <w:tcW w:type="dxa" w:w="31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可由酒店扫码购买</w:t>
            </w:r>
          </w:p>
        </w:tc>
      </w:tr>
      <w:tr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游客日票</w:t>
            </w:r>
          </w:p>
        </w:tc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USD12/日，累计不超过3小时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观光骑行</w:t>
            </w:r>
          </w:p>
        </w:tc>
        <w:tc>
          <w:tcPr>
            <w:tcW w:type="dxa" w:w="31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单次最长60分钟，防止长期占车</w:t>
            </w:r>
          </w:p>
        </w:tc>
      </w:tr>
      <w:tr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企业/酒店包</w:t>
            </w:r>
          </w:p>
        </w:tc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按月协商，建议较零售价折扣10%至20%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员工与住客</w:t>
            </w:r>
          </w:p>
        </w:tc>
        <w:tc>
          <w:tcPr>
            <w:tcW w:type="dxa" w:w="31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形成保底订单</w:t>
            </w:r>
          </w:p>
        </w:tc>
      </w:tr>
    </w:tbl>
    <w:p>
      <w:pPr>
        <w:spacing w:after="0"/>
      </w:pP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模型采用含税平均客单价MVR18、20和22三档，而不是把所有用户都按游客美元价收费。基准MVR20约合USD1.30，兼顾本地可负担性和运营成本。上线后应通过A/B测试调整起步时长、月卡次数和游客产品。</w:t>
      </w:r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五、投资测算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5.1 统一测算假设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2600"/>
        <w:gridCol w:w="2800"/>
        <w:gridCol w:w="3960"/>
      </w:tblGrid>
      <w:tr>
        <w:trPr>
          <w:tblHeader w:val="true"/>
        </w:trPr>
        <w:tc>
          <w:tcPr>
            <w:tcW w:type="dxa" w:w="26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假设</w:t>
            </w:r>
          </w:p>
        </w:tc>
        <w:tc>
          <w:tcPr>
            <w:tcW w:type="dxa" w:w="28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取值</w:t>
            </w:r>
          </w:p>
        </w:tc>
        <w:tc>
          <w:tcPr>
            <w:tcW w:type="dxa" w:w="396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备注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首期投放规模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500辆</w:t>
            </w:r>
          </w:p>
        </w:tc>
        <w:tc>
          <w:tcPr>
            <w:tcW w:type="dxa" w:w="3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运营90至180天后按KPI决定增投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车辆+智能控制器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CNY4,000/辆</w:t>
            </w:r>
          </w:p>
        </w:tc>
        <w:tc>
          <w:tcPr>
            <w:tcW w:type="dxa" w:w="3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用户最新报价，不含关税和国际运输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平台定制费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CNY500,000</w:t>
            </w:r>
          </w:p>
        </w:tc>
        <w:tc>
          <w:tcPr>
            <w:tcW w:type="dxa" w:w="3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一次性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平台服务费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USD5,000/月</w:t>
            </w:r>
          </w:p>
        </w:tc>
        <w:tc>
          <w:tcPr>
            <w:tcW w:type="dxa" w:w="3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即USD60,000/年；假设覆盖500至1,000辆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规划汇率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USD1=CNY7.20；USD1=MVR15.42</w:t>
            </w:r>
          </w:p>
        </w:tc>
        <w:tc>
          <w:tcPr>
            <w:tcW w:type="dxa" w:w="3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MVR汇率采用MMA 2026年6月参考值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进口关税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0%</w:t>
            </w:r>
          </w:p>
        </w:tc>
        <w:tc>
          <w:tcPr>
            <w:tcW w:type="dxa" w:w="3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以中国原产、HS预裁定和原产地证合规为前提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GST预留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设备CIF价值的8%</w:t>
            </w:r>
          </w:p>
        </w:tc>
        <w:tc>
          <w:tcPr>
            <w:tcW w:type="dxa" w:w="3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保守现金口径；是否可抵扣须由MIRA确认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预备费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约基础建设支出的8%</w:t>
            </w:r>
          </w:p>
        </w:tc>
        <w:tc>
          <w:tcPr>
            <w:tcW w:type="dxa" w:w="3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应对海运、清关、牌照和施工偏差</w:t>
            </w:r>
          </w:p>
        </w:tc>
      </w:tr>
    </w:tbl>
    <w:p>
      <w:pPr>
        <w:spacing w:after="0"/>
      </w:pP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5.2 首期500辆投资预算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3300"/>
        <w:gridCol w:w="1900"/>
        <w:gridCol w:w="1800"/>
        <w:gridCol w:w="2360"/>
      </w:tblGrid>
      <w:tr>
        <w:trPr>
          <w:tblHeader w:val="true"/>
        </w:trPr>
        <w:tc>
          <w:tcPr>
            <w:tcW w:type="dxa" w:w="33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项目</w:t>
            </w:r>
          </w:p>
        </w:tc>
        <w:tc>
          <w:tcPr>
            <w:tcW w:type="dxa" w:w="19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人民币（CNY）</w:t>
            </w:r>
          </w:p>
        </w:tc>
        <w:tc>
          <w:tcPr>
            <w:tcW w:type="dxa" w:w="18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美元（USD）</w:t>
            </w:r>
          </w:p>
        </w:tc>
        <w:tc>
          <w:tcPr>
            <w:tcW w:type="dxa" w:w="236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说明</w:t>
            </w:r>
          </w:p>
        </w:tc>
      </w:tr>
      <w:tr>
        <w:tc>
          <w:tcPr>
            <w:tcW w:type="dxa" w:w="3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500辆车辆及智能控制器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2,000,000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277,778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500辆 x CNY4,000</w:t>
            </w:r>
          </w:p>
        </w:tc>
      </w:tr>
      <w:tr>
        <w:tc>
          <w:tcPr>
            <w:tcW w:type="dxa" w:w="3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平台定制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500,000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69,444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一次性</w:t>
            </w:r>
          </w:p>
        </w:tc>
      </w:tr>
      <w:tr>
        <w:tc>
          <w:tcPr>
            <w:tcW w:type="dxa" w:w="3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国际海运、保险及锂电危险品操作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350,000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48,611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需以装箱方案询价</w:t>
            </w:r>
          </w:p>
        </w:tc>
      </w:tr>
      <w:tr>
        <w:tc>
          <w:tcPr>
            <w:tcW w:type="dxa" w:w="3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进口GST现金预留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188,000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26,111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按车辆及运输CIF的8%估算</w:t>
            </w:r>
          </w:p>
        </w:tc>
      </w:tr>
      <w:tr>
        <w:tc>
          <w:tcPr>
            <w:tcW w:type="dxa" w:w="3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备件、备用电池及维修件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200,000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27,778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约车辆采购额10%</w:t>
            </w:r>
          </w:p>
        </w:tc>
      </w:tr>
      <w:tr>
        <w:tc>
          <w:tcPr>
            <w:tcW w:type="dxa" w:w="3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虚拟停车点、车架、充换电及消防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300,000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41,667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覆盖80至100个虚拟停车点</w:t>
            </w:r>
          </w:p>
        </w:tc>
      </w:tr>
      <w:tr>
        <w:tc>
          <w:tcPr>
            <w:tcW w:type="dxa" w:w="3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仓库、工具、合规和市场启动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420,000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58,333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含法律、许可、培训及首批物料</w:t>
            </w:r>
          </w:p>
        </w:tc>
      </w:tr>
      <w:tr>
        <w:tc>
          <w:tcPr>
            <w:tcW w:type="dxa" w:w="3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首6个月平台服务费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216,000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30,000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USD5,000/月 x 6个月</w:t>
            </w:r>
          </w:p>
        </w:tc>
      </w:tr>
      <w:tr>
        <w:tc>
          <w:tcPr>
            <w:tcW w:type="dxa" w:w="3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首6个月其他营运资金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666,000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92,500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工资、场租、调度、客服等，不含平台费</w:t>
            </w:r>
          </w:p>
        </w:tc>
      </w:tr>
      <w:tr>
        <w:tc>
          <w:tcPr>
            <w:tcW w:type="dxa" w:w="3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预备费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360,000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50,000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约占基础投入7%至8%</w:t>
            </w:r>
          </w:p>
        </w:tc>
      </w:tr>
      <w:tr>
        <w:tc>
          <w:tcPr>
            <w:tcW w:type="dxa" w:w="3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合计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5,200,000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722,222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约520万元人民币</w:t>
            </w:r>
          </w:p>
        </w:tc>
      </w:tr>
    </w:tbl>
    <w:p>
      <w:pPr>
        <w:spacing w:after="0"/>
      </w:pPr>
    </w:p>
    <w:p>
      <w:pPr>
        <w:ind w:left="216" w:right="144"/>
        <w:pBdr>
          <w:left w:val="single" w:sz="24" w:space="8" w:color="8A6500"/>
        </w:pBdr>
      </w:pPr>
      <w:r>
        <w:rPr>
          <w:rFonts w:ascii="Noto Sans SC" w:hAnsi="Noto Sans SC" w:eastAsia="Noto Sans SC"/>
          <w:b/>
          <w:i w:val="0"/>
          <w:color w:val="8A6500"/>
          <w:sz w:val="22"/>
        </w:rPr>
        <w:t xml:space="preserve">预算说明 </w:t>
      </w:r>
      <w:r>
        <w:rPr>
          <w:rFonts w:ascii="Noto Sans SC" w:hAnsi="Noto Sans SC" w:eastAsia="Noto Sans SC"/>
          <w:b w:val="0"/>
          <w:i w:val="0"/>
          <w:color w:val="20242A"/>
          <w:sz w:val="22"/>
        </w:rPr>
        <w:t>关税按0%测算，但该优势依赖中国原产地资格和正确申报。若海关把车型归入其他税号、原产地证不合格或整车与配件拆分申报，实际税负可能变化。正式采购前应把海关预裁定作为付款先决条件。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5.3 后续增投预算与条件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1350"/>
        <w:gridCol w:w="1200"/>
        <w:gridCol w:w="2550"/>
        <w:gridCol w:w="1350"/>
        <w:gridCol w:w="2910"/>
      </w:tblGrid>
      <w:tr>
        <w:trPr>
          <w:tblHeader w:val="true"/>
        </w:trPr>
        <w:tc>
          <w:tcPr>
            <w:tcW w:type="dxa" w:w="135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扩容批次</w:t>
            </w:r>
          </w:p>
        </w:tc>
        <w:tc>
          <w:tcPr>
            <w:tcW w:type="dxa" w:w="12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增投车辆</w:t>
            </w:r>
          </w:p>
        </w:tc>
        <w:tc>
          <w:tcPr>
            <w:tcW w:type="dxa" w:w="255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估算增量投资</w:t>
            </w:r>
          </w:p>
        </w:tc>
        <w:tc>
          <w:tcPr>
            <w:tcW w:type="dxa" w:w="135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累计车辆</w:t>
            </w:r>
          </w:p>
        </w:tc>
        <w:tc>
          <w:tcPr>
            <w:tcW w:type="dxa" w:w="291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触发条件</w:t>
            </w:r>
          </w:p>
        </w:tc>
      </w:tr>
      <w:tr>
        <w:tc>
          <w:tcPr>
            <w:tcW w:type="dxa" w:w="13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第2批</w:t>
            </w:r>
          </w:p>
        </w:tc>
        <w:tc>
          <w:tcPr>
            <w:tcW w:type="dxa" w:w="1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250辆</w:t>
            </w:r>
          </w:p>
        </w:tc>
        <w:tc>
          <w:tcPr>
            <w:tcW w:type="dxa" w:w="25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约CNY1,800,000 / USD250,000</w:t>
            </w:r>
          </w:p>
        </w:tc>
        <w:tc>
          <w:tcPr>
            <w:tcW w:type="dxa" w:w="13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750辆</w:t>
            </w:r>
          </w:p>
        </w:tc>
        <w:tc>
          <w:tcPr>
            <w:tcW w:type="dxa" w:w="29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连续90天&gt;=2.2单/车/日；高峰缺车率&gt;15%</w:t>
            </w:r>
          </w:p>
        </w:tc>
      </w:tr>
      <w:tr>
        <w:tc>
          <w:tcPr>
            <w:tcW w:type="dxa" w:w="13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第3批</w:t>
            </w:r>
          </w:p>
        </w:tc>
        <w:tc>
          <w:tcPr>
            <w:tcW w:type="dxa" w:w="1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250辆</w:t>
            </w:r>
          </w:p>
        </w:tc>
        <w:tc>
          <w:tcPr>
            <w:tcW w:type="dxa" w:w="25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约CNY1,800,000 / USD250,000</w:t>
            </w:r>
          </w:p>
        </w:tc>
        <w:tc>
          <w:tcPr>
            <w:tcW w:type="dxa" w:w="13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1,000辆</w:t>
            </w:r>
          </w:p>
        </w:tc>
        <w:tc>
          <w:tcPr>
            <w:tcW w:type="dxa" w:w="29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750辆投放后连续90天仍达到同一门槛</w:t>
            </w:r>
          </w:p>
        </w:tc>
      </w:tr>
    </w:tbl>
    <w:p>
      <w:pPr>
        <w:spacing w:after="0"/>
      </w:pP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每批CNY1,800,000的增量预算包含车辆及控制器CNY1,000,000，以及运输、进口GST现金预留、备件、停车设施、上线实施、增量营运资金和预备费。若两次扩容均实施，1,000辆累计投入约CNY8,800,000（约USD1,222,222）。上述测算假设平台月服务费仍为USD5,000；采购前必须书面确认该费用覆盖的车辆上限、并发用户、物联网流量和接口调用量。</w:t>
      </w:r>
    </w:p>
    <w:p>
      <w:pPr>
        <w:ind w:left="216" w:right="144"/>
        <w:pBdr>
          <w:left w:val="single" w:sz="24" w:space="8" w:color="8A6500"/>
        </w:pBdr>
      </w:pPr>
      <w:r>
        <w:rPr>
          <w:rFonts w:ascii="Noto Sans SC" w:hAnsi="Noto Sans SC" w:eastAsia="Noto Sans SC"/>
          <w:b/>
          <w:i w:val="0"/>
          <w:color w:val="8A6500"/>
          <w:sz w:val="22"/>
        </w:rPr>
        <w:t xml:space="preserve">为什么不能一次投1,000辆 </w:t>
      </w:r>
      <w:r>
        <w:rPr>
          <w:rFonts w:ascii="Noto Sans SC" w:hAnsi="Noto Sans SC" w:eastAsia="Noto Sans SC"/>
          <w:b w:val="0"/>
          <w:i w:val="0"/>
          <w:color w:val="20242A"/>
          <w:sz w:val="22"/>
        </w:rPr>
        <w:t>车辆增加可以摊薄平台固定成本，但Addu本地人口约2.7万人，需求上限尚未验证。先投500辆可在覆盖密度与资本风险之间取得平衡；后续每增加250辆，都必须由真实缺车率、订单密度和复购率证明需要。</w:t>
      </w:r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六、收入、利润与投资回报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6.1 首期500辆年度情景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800"/>
        <w:gridCol w:w="950"/>
        <w:gridCol w:w="1050"/>
        <w:gridCol w:w="950"/>
        <w:gridCol w:w="1200"/>
        <w:gridCol w:w="1200"/>
        <w:gridCol w:w="1150"/>
        <w:gridCol w:w="1100"/>
        <w:gridCol w:w="960"/>
      </w:tblGrid>
      <w:tr>
        <w:trPr>
          <w:tblHeader w:val="true"/>
        </w:trPr>
        <w:tc>
          <w:tcPr>
            <w:tcW w:type="dxa" w:w="8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5"/>
              </w:rPr>
              <w:t>情景</w:t>
            </w:r>
          </w:p>
        </w:tc>
        <w:tc>
          <w:tcPr>
            <w:tcW w:type="dxa" w:w="95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5"/>
              </w:rPr>
              <w:t>单/车/日</w:t>
            </w:r>
          </w:p>
        </w:tc>
        <w:tc>
          <w:tcPr>
            <w:tcW w:type="dxa" w:w="105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5"/>
              </w:rPr>
              <w:t>含税客单</w:t>
            </w:r>
          </w:p>
        </w:tc>
        <w:tc>
          <w:tcPr>
            <w:tcW w:type="dxa" w:w="95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5"/>
              </w:rPr>
              <w:t>年订单</w:t>
            </w:r>
          </w:p>
        </w:tc>
        <w:tc>
          <w:tcPr>
            <w:tcW w:type="dxa" w:w="12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5"/>
              </w:rPr>
              <w:t>含税流水USD</w:t>
            </w:r>
          </w:p>
        </w:tc>
        <w:tc>
          <w:tcPr>
            <w:tcW w:type="dxa" w:w="12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5"/>
              </w:rPr>
              <w:t>不含GST收入</w:t>
            </w:r>
          </w:p>
        </w:tc>
        <w:tc>
          <w:tcPr>
            <w:tcW w:type="dxa" w:w="115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5"/>
              </w:rPr>
              <w:t>年运营支出</w:t>
            </w:r>
          </w:p>
        </w:tc>
        <w:tc>
          <w:tcPr>
            <w:tcW w:type="dxa" w:w="11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5"/>
              </w:rPr>
              <w:t>税前EBITDA</w:t>
            </w:r>
          </w:p>
        </w:tc>
        <w:tc>
          <w:tcPr>
            <w:tcW w:type="dxa" w:w="96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5"/>
              </w:rPr>
              <w:t>静态回收</w:t>
            </w:r>
          </w:p>
        </w:tc>
      </w:tr>
      <w:tr>
        <w:tc>
          <w:tcPr>
            <w:tcW w:type="dxa" w:w="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保守</w:t>
            </w:r>
          </w:p>
        </w:tc>
        <w:tc>
          <w:tcPr>
            <w:tcW w:type="dxa" w:w="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1.0</w:t>
            </w:r>
          </w:p>
        </w:tc>
        <w:tc>
          <w:tcPr>
            <w:tcW w:type="dxa" w:w="10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MVR18</w:t>
            </w:r>
          </w:p>
        </w:tc>
        <w:tc>
          <w:tcPr>
            <w:tcW w:type="dxa" w:w="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182,500</w:t>
            </w:r>
          </w:p>
        </w:tc>
        <w:tc>
          <w:tcPr>
            <w:tcW w:type="dxa" w:w="1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213,035</w:t>
            </w:r>
          </w:p>
        </w:tc>
        <w:tc>
          <w:tcPr>
            <w:tcW w:type="dxa" w:w="1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197,255</w:t>
            </w:r>
          </w:p>
        </w:tc>
        <w:tc>
          <w:tcPr>
            <w:tcW w:type="dxa" w:w="11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252,043</w:t>
            </w:r>
          </w:p>
        </w:tc>
        <w:tc>
          <w:tcPr>
            <w:tcW w:type="dxa" w:w="11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-54,788</w:t>
            </w:r>
          </w:p>
        </w:tc>
        <w:tc>
          <w:tcPr>
            <w:tcW w:type="dxa" w:w="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亏损</w:t>
            </w:r>
          </w:p>
        </w:tc>
      </w:tr>
      <w:tr>
        <w:tc>
          <w:tcPr>
            <w:tcW w:type="dxa" w:w="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谨慎</w:t>
            </w:r>
          </w:p>
        </w:tc>
        <w:tc>
          <w:tcPr>
            <w:tcW w:type="dxa" w:w="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1.5</w:t>
            </w:r>
          </w:p>
        </w:tc>
        <w:tc>
          <w:tcPr>
            <w:tcW w:type="dxa" w:w="10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MVR20</w:t>
            </w:r>
          </w:p>
        </w:tc>
        <w:tc>
          <w:tcPr>
            <w:tcW w:type="dxa" w:w="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273,750</w:t>
            </w:r>
          </w:p>
        </w:tc>
        <w:tc>
          <w:tcPr>
            <w:tcW w:type="dxa" w:w="1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355,058</w:t>
            </w:r>
          </w:p>
        </w:tc>
        <w:tc>
          <w:tcPr>
            <w:tcW w:type="dxa" w:w="1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328,758</w:t>
            </w:r>
          </w:p>
        </w:tc>
        <w:tc>
          <w:tcPr>
            <w:tcW w:type="dxa" w:w="11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273,405</w:t>
            </w:r>
          </w:p>
        </w:tc>
        <w:tc>
          <w:tcPr>
            <w:tcW w:type="dxa" w:w="11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55,353</w:t>
            </w:r>
          </w:p>
        </w:tc>
        <w:tc>
          <w:tcPr>
            <w:tcW w:type="dxa" w:w="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约13.0年</w:t>
            </w:r>
          </w:p>
        </w:tc>
      </w:tr>
      <w:tr>
        <w:tc>
          <w:tcPr>
            <w:tcW w:type="dxa" w:w="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基准</w:t>
            </w:r>
          </w:p>
        </w:tc>
        <w:tc>
          <w:tcPr>
            <w:tcW w:type="dxa" w:w="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2.2</w:t>
            </w:r>
          </w:p>
        </w:tc>
        <w:tc>
          <w:tcPr>
            <w:tcW w:type="dxa" w:w="10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MVR20</w:t>
            </w:r>
          </w:p>
        </w:tc>
        <w:tc>
          <w:tcPr>
            <w:tcW w:type="dxa" w:w="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401,500</w:t>
            </w:r>
          </w:p>
        </w:tc>
        <w:tc>
          <w:tcPr>
            <w:tcW w:type="dxa" w:w="1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520,752</w:t>
            </w:r>
          </w:p>
        </w:tc>
        <w:tc>
          <w:tcPr>
            <w:tcW w:type="dxa" w:w="1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482,178</w:t>
            </w:r>
          </w:p>
        </w:tc>
        <w:tc>
          <w:tcPr>
            <w:tcW w:type="dxa" w:w="11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286,660</w:t>
            </w:r>
          </w:p>
        </w:tc>
        <w:tc>
          <w:tcPr>
            <w:tcW w:type="dxa" w:w="11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195,518</w:t>
            </w:r>
          </w:p>
        </w:tc>
        <w:tc>
          <w:tcPr>
            <w:tcW w:type="dxa" w:w="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约3.7年</w:t>
            </w:r>
          </w:p>
        </w:tc>
      </w:tr>
      <w:tr>
        <w:tc>
          <w:tcPr>
            <w:tcW w:type="dxa" w:w="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乐观</w:t>
            </w:r>
          </w:p>
        </w:tc>
        <w:tc>
          <w:tcPr>
            <w:tcW w:type="dxa" w:w="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3.0</w:t>
            </w:r>
          </w:p>
        </w:tc>
        <w:tc>
          <w:tcPr>
            <w:tcW w:type="dxa" w:w="10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MVR22</w:t>
            </w:r>
          </w:p>
        </w:tc>
        <w:tc>
          <w:tcPr>
            <w:tcW w:type="dxa" w:w="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547,500</w:t>
            </w:r>
          </w:p>
        </w:tc>
        <w:tc>
          <w:tcPr>
            <w:tcW w:type="dxa" w:w="1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781,128</w:t>
            </w:r>
          </w:p>
        </w:tc>
        <w:tc>
          <w:tcPr>
            <w:tcW w:type="dxa" w:w="1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723,267</w:t>
            </w:r>
          </w:p>
        </w:tc>
        <w:tc>
          <w:tcPr>
            <w:tcW w:type="dxa" w:w="11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327,490</w:t>
            </w:r>
          </w:p>
        </w:tc>
        <w:tc>
          <w:tcPr>
            <w:tcW w:type="dxa" w:w="11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395,777</w:t>
            </w:r>
          </w:p>
        </w:tc>
        <w:tc>
          <w:tcPr>
            <w:tcW w:type="dxa" w:w="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约1.8年</w:t>
            </w:r>
          </w:p>
        </w:tc>
      </w:tr>
    </w:tbl>
    <w:p>
      <w:pPr>
        <w:spacing w:after="0"/>
      </w:pP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运营支出包括平台服务费、人员、场地、维修及电池更新准备、车辆丢损、调度、保险/登记、客服、营销、审计和行政；另按含税流水8%计提支付通道费及市政府分成。基准固定运营成本按USD245,000/年估算，其中平台服务费USD60,000，占固定成本约24.5%；乐观情景因维修和调度工作增加，固定成本提高至USD265,000。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6.2 基准情景计算公式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1800"/>
        <w:gridCol w:w="4300"/>
        <w:gridCol w:w="3260"/>
      </w:tblGrid>
      <w:tr>
        <w:trPr>
          <w:tblHeader w:val="true"/>
        </w:trPr>
        <w:tc>
          <w:tcPr>
            <w:tcW w:type="dxa" w:w="18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步骤</w:t>
            </w:r>
          </w:p>
        </w:tc>
        <w:tc>
          <w:tcPr>
            <w:tcW w:type="dxa" w:w="43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公式</w:t>
            </w:r>
          </w:p>
        </w:tc>
        <w:tc>
          <w:tcPr>
            <w:tcW w:type="dxa" w:w="326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结果</w:t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年订单量</w:t>
            </w:r>
          </w:p>
        </w:tc>
        <w:tc>
          <w:tcPr>
            <w:tcW w:type="dxa" w:w="4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500辆 x 2.2单/日 x 365日</w:t>
            </w:r>
          </w:p>
        </w:tc>
        <w:tc>
          <w:tcPr>
            <w:tcW w:type="dxa" w:w="32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401,500单</w:t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含税流水</w:t>
            </w:r>
          </w:p>
        </w:tc>
        <w:tc>
          <w:tcPr>
            <w:tcW w:type="dxa" w:w="4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401,500单 x MVR20 / 15.42</w:t>
            </w:r>
          </w:p>
        </w:tc>
        <w:tc>
          <w:tcPr>
            <w:tcW w:type="dxa" w:w="32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USD520,752</w:t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不含GST收入</w:t>
            </w:r>
          </w:p>
        </w:tc>
        <w:tc>
          <w:tcPr>
            <w:tcW w:type="dxa" w:w="4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USD520,752 / 1.08</w:t>
            </w:r>
          </w:p>
        </w:tc>
        <w:tc>
          <w:tcPr>
            <w:tcW w:type="dxa" w:w="32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USD482,178</w:t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收入联动成本</w:t>
            </w:r>
          </w:p>
        </w:tc>
        <w:tc>
          <w:tcPr>
            <w:tcW w:type="dxa" w:w="4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含税流水 x 8%</w:t>
            </w:r>
          </w:p>
        </w:tc>
        <w:tc>
          <w:tcPr>
            <w:tcW w:type="dxa" w:w="32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USD41,660</w:t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EBITDA</w:t>
            </w:r>
          </w:p>
        </w:tc>
        <w:tc>
          <w:tcPr>
            <w:tcW w:type="dxa" w:w="4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482,178 - 245,000 - 41,660</w:t>
            </w:r>
          </w:p>
        </w:tc>
        <w:tc>
          <w:tcPr>
            <w:tcW w:type="dxa" w:w="32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USD195,518</w:t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静态回收期</w:t>
            </w:r>
          </w:p>
        </w:tc>
        <w:tc>
          <w:tcPr>
            <w:tcW w:type="dxa" w:w="4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初始投资722,222 / 195,518</w:t>
            </w:r>
          </w:p>
        </w:tc>
        <w:tc>
          <w:tcPr>
            <w:tcW w:type="dxa" w:w="32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3.69年</w:t>
            </w:r>
          </w:p>
        </w:tc>
      </w:tr>
    </w:tbl>
    <w:p>
      <w:pPr>
        <w:spacing w:after="0"/>
      </w:pP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EBITDA口径未扣所得税、融资利息和会计折旧。正式融资模型应按马尔代夫资本津贴规则计算应税利润，并加入贷款利率、偿债计划和电池/整车大修资本开支。对早期决策而言，最重要的变量不是电费，而是单车日均订单和平均客单价。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6.3 盈亏平衡与扩容阈值</w:t>
      </w: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按基准含税客单MVR20、支付及市政府分成合计8%、500辆固定运营成本USD245,000测算，EBITDA盈亏平衡约为1.22单/车/日；若要求4年内收回USD722,222初始投资，则需约2.13单/车/日。考虑淡旺季、事故、政策变化和预测误差，扩容标准提高到连续90天2.2单/车/日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2400"/>
        <w:gridCol w:w="2200"/>
        <w:gridCol w:w="2380"/>
        <w:gridCol w:w="2380"/>
      </w:tblGrid>
      <w:tr>
        <w:trPr>
          <w:tblHeader w:val="true"/>
        </w:trPr>
        <w:tc>
          <w:tcPr>
            <w:tcW w:type="dxa" w:w="24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指标</w:t>
            </w:r>
          </w:p>
        </w:tc>
        <w:tc>
          <w:tcPr>
            <w:tcW w:type="dxa" w:w="22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最低生存线</w:t>
            </w:r>
          </w:p>
        </w:tc>
        <w:tc>
          <w:tcPr>
            <w:tcW w:type="dxa" w:w="238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投资可接受线</w:t>
            </w:r>
          </w:p>
        </w:tc>
        <w:tc>
          <w:tcPr>
            <w:tcW w:type="dxa" w:w="238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建议扩容线</w:t>
            </w:r>
          </w:p>
        </w:tc>
      </w:tr>
      <w:tr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单车日均订单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约1.22单</w:t>
            </w:r>
          </w:p>
        </w:tc>
        <w:tc>
          <w:tcPr>
            <w:tcW w:type="dxa" w:w="23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约2.13单（4年回收）</w:t>
            </w:r>
          </w:p>
        </w:tc>
        <w:tc>
          <w:tcPr>
            <w:tcW w:type="dxa" w:w="23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&gt;=2.2单且连续90天</w:t>
            </w:r>
          </w:p>
        </w:tc>
      </w:tr>
      <w:tr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车辆可用率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&gt;=85%</w:t>
            </w:r>
          </w:p>
        </w:tc>
        <w:tc>
          <w:tcPr>
            <w:tcW w:type="dxa" w:w="23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&gt;=88%</w:t>
            </w:r>
          </w:p>
        </w:tc>
        <w:tc>
          <w:tcPr>
            <w:tcW w:type="dxa" w:w="23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&gt;=90%</w:t>
            </w:r>
          </w:p>
        </w:tc>
      </w:tr>
      <w:tr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规范停车率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&gt;=90%</w:t>
            </w:r>
          </w:p>
        </w:tc>
        <w:tc>
          <w:tcPr>
            <w:tcW w:type="dxa" w:w="23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&gt;=93%</w:t>
            </w:r>
          </w:p>
        </w:tc>
        <w:tc>
          <w:tcPr>
            <w:tcW w:type="dxa" w:w="23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&gt;=95%</w:t>
            </w:r>
          </w:p>
        </w:tc>
      </w:tr>
      <w:tr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90日复购率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&gt;=20%</w:t>
            </w:r>
          </w:p>
        </w:tc>
        <w:tc>
          <w:tcPr>
            <w:tcW w:type="dxa" w:w="23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&gt;=30%</w:t>
            </w:r>
          </w:p>
        </w:tc>
        <w:tc>
          <w:tcPr>
            <w:tcW w:type="dxa" w:w="23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&gt;=35%</w:t>
            </w:r>
          </w:p>
        </w:tc>
      </w:tr>
    </w:tbl>
    <w:p>
      <w:pPr>
        <w:spacing w:after="0"/>
      </w:pP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6.4 服务费变化对回报的影响</w:t>
      </w: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平台服务费USD5,000/月等于USD60,000/年，在500辆规模下相当于每车每年USD120。该费用是项目目前最显著的固定运营成本之一：即使没有订单也必须支付。与原先按车辆计费的低服务费口径相比，新报价明显抬高盈亏平衡点，因此系统合同应争取至少3年价格锁定、明确服务边界，并设置SLA、故障减免和数据迁移条款。</w:t>
      </w: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基准回报对订单密度非常敏感：1.5单/车/日虽可产生正EBITDA，但静态回收约13年，投资吸引力不足；达到2.2单/车/日后回收期才缩短至约3.7年。500辆首期的目标不是先追求车辆总量，而是通过高密度布点、酒店及企业保底订单、月卡和游客产品，把订单稳定在2.2单/车/日以上，再决定增投。</w:t>
      </w:r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七、运营体系与技术方案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7.1 车辆技术建议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优先选择真正具备脚踏能力的电助力车型：额定功率不超过250W，达到25km/h停止助力；最终参数以马尔代夫书面分类为准。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适应海岛盐雾：铝合金或防腐车架，不锈钢紧固件，关键件盐雾测试，线束和接插件防水，控制器与定位器建议IP67。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电池：可换电、独立BMS、阻燃外壳、防拆锁；提供UN38.3、MSDS、运输鉴定和电芯追溯资料。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安全：前后灯、反光件、双制动、车铃、速度限制、跌倒/异常移动告警；一车一编号和可视二维码。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共享耐久性：实心或防刺轮胎、封闭链罩/传动、加强车筐和脚撑；核心易损件在本地备库。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7.2 平台必须具备的功能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2000"/>
        <w:gridCol w:w="7360"/>
      </w:tblGrid>
      <w:tr>
        <w:trPr>
          <w:tblHeader w:val="true"/>
        </w:trPr>
        <w:tc>
          <w:tcPr>
            <w:tcW w:type="dxa" w:w="20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模块</w:t>
            </w:r>
          </w:p>
        </w:tc>
        <w:tc>
          <w:tcPr>
            <w:tcW w:type="dxa" w:w="736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必须功能</w:t>
            </w:r>
          </w:p>
        </w:tc>
      </w:tr>
      <w:tr>
        <w:tc>
          <w:tcPr>
            <w:tcW w:type="dxa" w:w="20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用户端</w:t>
            </w:r>
          </w:p>
        </w:tc>
        <w:tc>
          <w:tcPr>
            <w:tcW w:type="dxa" w:w="7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手机号/证件校验、扫码开锁、地图、价格、停车点、支付、退款、事故和故障上报</w:t>
            </w:r>
          </w:p>
        </w:tc>
      </w:tr>
      <w:tr>
        <w:tc>
          <w:tcPr>
            <w:tcW w:type="dxa" w:w="20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车辆端</w:t>
            </w:r>
          </w:p>
        </w:tc>
        <w:tc>
          <w:tcPr>
            <w:tcW w:type="dxa" w:w="7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GPS/基站定位、电子锁、SIM、速度和电量、倾倒告警、越界告警、远程断电/锁车</w:t>
            </w:r>
          </w:p>
        </w:tc>
      </w:tr>
      <w:tr>
        <w:tc>
          <w:tcPr>
            <w:tcW w:type="dxa" w:w="20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运营端</w:t>
            </w:r>
          </w:p>
        </w:tc>
        <w:tc>
          <w:tcPr>
            <w:tcW w:type="dxa" w:w="7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热力图、调度任务、维修工单、换电任务、停车合规、车辆寿命和备件管理</w:t>
            </w:r>
          </w:p>
        </w:tc>
      </w:tr>
      <w:tr>
        <w:tc>
          <w:tcPr>
            <w:tcW w:type="dxa" w:w="20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政府端</w:t>
            </w:r>
          </w:p>
        </w:tc>
        <w:tc>
          <w:tcPr>
            <w:tcW w:type="dxa" w:w="7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实时总量、区域分布、停车合规、事故/投诉、碳减排和月度服务水平报表</w:t>
            </w:r>
          </w:p>
        </w:tc>
      </w:tr>
      <w:tr>
        <w:tc>
          <w:tcPr>
            <w:tcW w:type="dxa" w:w="20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财务端</w:t>
            </w:r>
          </w:p>
        </w:tc>
        <w:tc>
          <w:tcPr>
            <w:tcW w:type="dxa" w:w="7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MVR和USD计价、8% GST、优惠券、酒店/企业账户、对账、退款和审计日志</w:t>
            </w:r>
          </w:p>
        </w:tc>
      </w:tr>
    </w:tbl>
    <w:p>
      <w:pPr>
        <w:spacing w:after="0"/>
      </w:pP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平台定制费CNY500,000和每月USD5,000服务费，应在合同中明确是否包含500至1,000辆的物联网SIM流量、地图服务、支付接口、App上架、服务器、数据备份、版本升级和7x24故障响应，并明确车辆上限、并发用户和API调用量。还应约定至少3年价格锁定、可用率SLA、重大故障服务费减免、数据所有权及退出迁移安排。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7.3 组织与运维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2200"/>
        <w:gridCol w:w="1450"/>
        <w:gridCol w:w="1700"/>
        <w:gridCol w:w="4010"/>
      </w:tblGrid>
      <w:tr>
        <w:trPr>
          <w:tblHeader w:val="true"/>
        </w:trPr>
        <w:tc>
          <w:tcPr>
            <w:tcW w:type="dxa" w:w="22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岗位/团队</w:t>
            </w:r>
          </w:p>
        </w:tc>
        <w:tc>
          <w:tcPr>
            <w:tcW w:type="dxa" w:w="145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1期500辆</w:t>
            </w:r>
          </w:p>
        </w:tc>
        <w:tc>
          <w:tcPr>
            <w:tcW w:type="dxa" w:w="17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1,000辆稳定期</w:t>
            </w:r>
          </w:p>
        </w:tc>
        <w:tc>
          <w:tcPr>
            <w:tcW w:type="dxa" w:w="401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主要职责</w:t>
            </w:r>
          </w:p>
        </w:tc>
      </w:tr>
      <w:tr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项目及政府关系</w:t>
            </w:r>
          </w:p>
        </w:tc>
        <w:tc>
          <w:tcPr>
            <w:tcW w:type="dxa" w:w="1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1</w:t>
            </w:r>
          </w:p>
        </w:tc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1至2</w:t>
            </w:r>
          </w:p>
        </w:tc>
        <w:tc>
          <w:tcPr>
            <w:tcW w:type="dxa" w:w="40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合规、政府、关键合作方</w:t>
            </w:r>
          </w:p>
        </w:tc>
      </w:tr>
      <w:tr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运营调度</w:t>
            </w:r>
          </w:p>
        </w:tc>
        <w:tc>
          <w:tcPr>
            <w:tcW w:type="dxa" w:w="1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3至4</w:t>
            </w:r>
          </w:p>
        </w:tc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6至8</w:t>
            </w:r>
          </w:p>
        </w:tc>
        <w:tc>
          <w:tcPr>
            <w:tcW w:type="dxa" w:w="40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摆车、换电、停车治理</w:t>
            </w:r>
          </w:p>
        </w:tc>
      </w:tr>
      <w:tr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维修技术</w:t>
            </w:r>
          </w:p>
        </w:tc>
        <w:tc>
          <w:tcPr>
            <w:tcW w:type="dxa" w:w="1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2</w:t>
            </w:r>
          </w:p>
        </w:tc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3至4</w:t>
            </w:r>
          </w:p>
        </w:tc>
        <w:tc>
          <w:tcPr>
            <w:tcW w:type="dxa" w:w="40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检修、备件、事故车</w:t>
            </w:r>
          </w:p>
        </w:tc>
      </w:tr>
      <w:tr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客服及用户运营</w:t>
            </w:r>
          </w:p>
        </w:tc>
        <w:tc>
          <w:tcPr>
            <w:tcW w:type="dxa" w:w="1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2</w:t>
            </w:r>
          </w:p>
        </w:tc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3</w:t>
            </w:r>
          </w:p>
        </w:tc>
        <w:tc>
          <w:tcPr>
            <w:tcW w:type="dxa" w:w="40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热线、退款、活动、酒店企业</w:t>
            </w:r>
          </w:p>
        </w:tc>
      </w:tr>
      <w:tr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财务行政</w:t>
            </w:r>
          </w:p>
        </w:tc>
        <w:tc>
          <w:tcPr>
            <w:tcW w:type="dxa" w:w="1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1（可兼职）</w:t>
            </w:r>
          </w:p>
        </w:tc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1至2</w:t>
            </w:r>
          </w:p>
        </w:tc>
        <w:tc>
          <w:tcPr>
            <w:tcW w:type="dxa" w:w="40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税务、对账、采购、人事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八、实施进度与KPI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8.1 建议时间表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1700"/>
        <w:gridCol w:w="1400"/>
        <w:gridCol w:w="3460"/>
        <w:gridCol w:w="2800"/>
      </w:tblGrid>
      <w:tr>
        <w:trPr>
          <w:tblHeader w:val="true"/>
        </w:trPr>
        <w:tc>
          <w:tcPr>
            <w:tcW w:type="dxa" w:w="17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阶段</w:t>
            </w:r>
          </w:p>
        </w:tc>
        <w:tc>
          <w:tcPr>
            <w:tcW w:type="dxa" w:w="14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时间</w:t>
            </w:r>
          </w:p>
        </w:tc>
        <w:tc>
          <w:tcPr>
            <w:tcW w:type="dxa" w:w="346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主要工作</w:t>
            </w:r>
          </w:p>
        </w:tc>
        <w:tc>
          <w:tcPr>
            <w:tcW w:type="dxa" w:w="28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交付物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政策确认与意向</w:t>
            </w:r>
          </w:p>
        </w:tc>
        <w:tc>
          <w:tcPr>
            <w:tcW w:type="dxa" w:w="1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第1至4周</w:t>
            </w:r>
          </w:p>
        </w:tc>
        <w:tc>
          <w:tcPr>
            <w:tcW w:type="dxa" w:w="34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市政府、交通、警察、海关、MIRA会谈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书面问题清单、项目NOC框架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车型与特许锁定</w:t>
            </w:r>
          </w:p>
        </w:tc>
        <w:tc>
          <w:tcPr>
            <w:tcW w:type="dxa" w:w="1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第5至8周</w:t>
            </w:r>
          </w:p>
        </w:tc>
        <w:tc>
          <w:tcPr>
            <w:tcW w:type="dxa" w:w="34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样车测试、HS预裁定、停车点勘察、合同谈判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车型确认函、特许协议核心条款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系统定制与生产</w:t>
            </w:r>
          </w:p>
        </w:tc>
        <w:tc>
          <w:tcPr>
            <w:tcW w:type="dxa" w:w="1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第9至16周</w:t>
            </w:r>
          </w:p>
        </w:tc>
        <w:tc>
          <w:tcPr>
            <w:tcW w:type="dxa" w:w="34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App、支付、地图、生产和质检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可验收系统、出厂检验报告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运输与现场准备</w:t>
            </w:r>
          </w:p>
        </w:tc>
        <w:tc>
          <w:tcPr>
            <w:tcW w:type="dxa" w:w="1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第14至20周</w:t>
            </w:r>
          </w:p>
        </w:tc>
        <w:tc>
          <w:tcPr>
            <w:tcW w:type="dxa" w:w="34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海运、清关、仓库、充换电和人员培训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车辆到场、运营中心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小样道路测试</w:t>
            </w:r>
          </w:p>
        </w:tc>
        <w:tc>
          <w:tcPr>
            <w:tcW w:type="dxa" w:w="1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第21至24周</w:t>
            </w:r>
          </w:p>
        </w:tc>
        <w:tc>
          <w:tcPr>
            <w:tcW w:type="dxa" w:w="34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20至30辆测试和安全演练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测试报告、问题闭环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500辆商业试运营</w:t>
            </w:r>
          </w:p>
        </w:tc>
        <w:tc>
          <w:tcPr>
            <w:tcW w:type="dxa" w:w="1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第25周起</w:t>
            </w:r>
          </w:p>
        </w:tc>
        <w:tc>
          <w:tcPr>
            <w:tcW w:type="dxa" w:w="34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分批上线、用户教育、调度优化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30/60/90日运营报告</w:t>
            </w:r>
          </w:p>
        </w:tc>
      </w:tr>
    </w:tbl>
    <w:p>
      <w:pPr>
        <w:spacing w:after="0"/>
      </w:pP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8.2 90天看板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2600"/>
        <w:gridCol w:w="2200"/>
        <w:gridCol w:w="2200"/>
        <w:gridCol w:w="2360"/>
      </w:tblGrid>
      <w:tr>
        <w:trPr>
          <w:tblHeader w:val="true"/>
        </w:trPr>
        <w:tc>
          <w:tcPr>
            <w:tcW w:type="dxa" w:w="26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KPI</w:t>
            </w:r>
          </w:p>
        </w:tc>
        <w:tc>
          <w:tcPr>
            <w:tcW w:type="dxa" w:w="22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30天目标</w:t>
            </w:r>
          </w:p>
        </w:tc>
        <w:tc>
          <w:tcPr>
            <w:tcW w:type="dxa" w:w="22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60天目标</w:t>
            </w:r>
          </w:p>
        </w:tc>
        <w:tc>
          <w:tcPr>
            <w:tcW w:type="dxa" w:w="236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90天扩容门槛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单车日均订单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&gt;=1.2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&gt;=1.7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&gt;=2.2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车辆可用率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&gt;=85%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&gt;=88%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&gt;=90%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规范停车率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&gt;=90%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&gt;=93%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&gt;=95%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故障关闭时长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&lt;24小时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&lt;18小时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&lt;12小时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投诉率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&lt;4/千单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&lt;3/千单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&lt;2/千单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月活用户复购率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&gt;=20%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&gt;=28%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&gt;=35%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九、主要风险与应对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2400"/>
        <w:gridCol w:w="1550"/>
        <w:gridCol w:w="5410"/>
      </w:tblGrid>
      <w:tr>
        <w:trPr>
          <w:tblHeader w:val="true"/>
        </w:trPr>
        <w:tc>
          <w:tcPr>
            <w:tcW w:type="dxa" w:w="24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风险</w:t>
            </w:r>
          </w:p>
        </w:tc>
        <w:tc>
          <w:tcPr>
            <w:tcW w:type="dxa" w:w="155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概率/影响</w:t>
            </w:r>
          </w:p>
        </w:tc>
        <w:tc>
          <w:tcPr>
            <w:tcW w:type="dxa" w:w="541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应对措施</w:t>
            </w:r>
          </w:p>
        </w:tc>
      </w:tr>
      <w:tr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车辆被归类为电动摩托车</w:t>
            </w:r>
          </w:p>
        </w:tc>
        <w:tc>
          <w:tcPr>
            <w:tcW w:type="dxa" w:w="15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高/高</w:t>
            </w:r>
          </w:p>
        </w:tc>
        <w:tc>
          <w:tcPr>
            <w:tcW w:type="dxa" w:w="54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采购前取得车型书面分类；优先低功率脚踏助力；预留登记、保险、头盔方案</w:t>
            </w:r>
          </w:p>
        </w:tc>
      </w:tr>
      <w:tr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外资经营活动不被准入</w:t>
            </w:r>
          </w:p>
        </w:tc>
        <w:tc>
          <w:tcPr>
            <w:tcW w:type="dxa" w:w="15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高/高</w:t>
            </w:r>
          </w:p>
        </w:tc>
        <w:tc>
          <w:tcPr>
            <w:tcW w:type="dxa" w:w="54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本地运营主体 + 市政府特许；中国方定位为设备和技术供应商</w:t>
            </w:r>
          </w:p>
        </w:tc>
      </w:tr>
      <w:tr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1,000辆需求不足</w:t>
            </w:r>
          </w:p>
        </w:tc>
        <w:tc>
          <w:tcPr>
            <w:tcW w:type="dxa" w:w="15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高/高</w:t>
            </w:r>
          </w:p>
        </w:tc>
        <w:tc>
          <w:tcPr>
            <w:tcW w:type="dxa" w:w="54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500辆先投；KPI触发两次250辆扩容；供应合同分批交货</w:t>
            </w:r>
          </w:p>
        </w:tc>
      </w:tr>
      <w:tr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平台固定服务费过高</w:t>
            </w:r>
          </w:p>
        </w:tc>
        <w:tc>
          <w:tcPr>
            <w:tcW w:type="dxa" w:w="15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中/高</w:t>
            </w:r>
          </w:p>
        </w:tc>
        <w:tc>
          <w:tcPr>
            <w:tcW w:type="dxa" w:w="54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锁定USD5,000/月覆盖上限；设置SLA减免、数据迁移和续费上限</w:t>
            </w:r>
          </w:p>
        </w:tc>
      </w:tr>
      <w:tr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盐雾、暴雨和积水损坏</w:t>
            </w:r>
          </w:p>
        </w:tc>
        <w:tc>
          <w:tcPr>
            <w:tcW w:type="dxa" w:w="15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高/中</w:t>
            </w:r>
          </w:p>
        </w:tc>
        <w:tc>
          <w:tcPr>
            <w:tcW w:type="dxa" w:w="54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防腐、防水、备件和预防性保养；停车点避开易涝区</w:t>
            </w:r>
          </w:p>
        </w:tc>
      </w:tr>
      <w:tr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乱停放和公众反感</w:t>
            </w:r>
          </w:p>
        </w:tc>
        <w:tc>
          <w:tcPr>
            <w:tcW w:type="dxa" w:w="15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中/高</w:t>
            </w:r>
          </w:p>
        </w:tc>
        <w:tc>
          <w:tcPr>
            <w:tcW w:type="dxa" w:w="54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虚拟停车点、信用分、拍照还车、现场巡检和市政联合执法</w:t>
            </w:r>
          </w:p>
        </w:tc>
      </w:tr>
      <w:tr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锂电池火灾</w:t>
            </w:r>
          </w:p>
        </w:tc>
        <w:tc>
          <w:tcPr>
            <w:tcW w:type="dxa" w:w="15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低/高</w:t>
            </w:r>
          </w:p>
        </w:tc>
        <w:tc>
          <w:tcPr>
            <w:tcW w:type="dxa" w:w="54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合规电芯和BMS；充电隔离、温度监控、消防分区、损伤电池隔离</w:t>
            </w:r>
          </w:p>
        </w:tc>
      </w:tr>
      <w:tr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支付与汇兑</w:t>
            </w:r>
          </w:p>
        </w:tc>
        <w:tc>
          <w:tcPr>
            <w:tcW w:type="dxa" w:w="15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中/中</w:t>
            </w:r>
          </w:p>
        </w:tc>
        <w:tc>
          <w:tcPr>
            <w:tcW w:type="dxa" w:w="54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本地MVR收单；酒店USD结算合规确认；供应费外汇预算</w:t>
            </w:r>
          </w:p>
        </w:tc>
      </w:tr>
      <w:tr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系统供应商锁定</w:t>
            </w:r>
          </w:p>
        </w:tc>
        <w:tc>
          <w:tcPr>
            <w:tcW w:type="dxa" w:w="15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中/中</w:t>
            </w:r>
          </w:p>
        </w:tc>
        <w:tc>
          <w:tcPr>
            <w:tcW w:type="dxa" w:w="54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数据可导出、API、源代码托管或退出迁移条款、SLA和违约赔偿</w:t>
            </w:r>
          </w:p>
        </w:tc>
      </w:tr>
      <w:tr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事故和第三方责任</w:t>
            </w:r>
          </w:p>
        </w:tc>
        <w:tc>
          <w:tcPr>
            <w:tcW w:type="dxa" w:w="15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中/高</w:t>
            </w:r>
          </w:p>
        </w:tc>
        <w:tc>
          <w:tcPr>
            <w:tcW w:type="dxa" w:w="54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骑行人身提示、第三方责任险、事故响应、禁行区和限速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十、最终决策建议</w:t>
      </w:r>
    </w:p>
    <w:p>
      <w:pPr>
        <w:numPr>
          <w:ilvl w:val="0"/>
          <w:numId w:val="13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原则同意项目进入“政府确认 + 500辆首期”的准备阶段，但暂不批准一次性采购1,000辆。</w:t>
      </w:r>
    </w:p>
    <w:p>
      <w:pPr>
        <w:numPr>
          <w:ilvl w:val="0"/>
          <w:numId w:val="13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在任何不可退采购定金支付前，必须取得：Addu City项目NOC/特许框架、交通主管部门车型分类、海关HS及关税预裁定、MIRA税务意见。</w:t>
      </w:r>
    </w:p>
    <w:p>
      <w:pPr>
        <w:numPr>
          <w:ilvl w:val="0"/>
          <w:numId w:val="13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采购合同采用“500 + 250 + 250”分批选择权，锁定单价但不强制一次提货；第二、三批以运营KPI为付款先决条件。</w:t>
      </w:r>
    </w:p>
    <w:p>
      <w:pPr>
        <w:numPr>
          <w:ilvl w:val="0"/>
          <w:numId w:val="13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项目公司优先采用马尔代夫本地运营主体；中国合作方负责车辆、智能控制器、系统、技术培训和长期备件。涉及中国股权时，再按外资法办理审批。</w:t>
      </w:r>
    </w:p>
    <w:p>
      <w:pPr>
        <w:numPr>
          <w:ilvl w:val="0"/>
          <w:numId w:val="13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政府合作谈判目标应是：3至5年可续期特许、指定停车点、公用场地支持、合理的3%至5%流水分成、明确的车辆上限和扩容机制。</w:t>
      </w:r>
    </w:p>
    <w:p>
      <w:pPr>
        <w:numPr>
          <w:ilvl w:val="0"/>
          <w:numId w:val="13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把“单车日均订单&gt;=2.2、可用率&gt;=90%、规范停车率&gt;=95%、高峰缺车率&gt;15%”写入董事会扩容条件。若90至180天仍低于1.22单/车/日，应停止扩容并研究缩减车队。</w:t>
      </w:r>
    </w:p>
    <w:p>
      <w:pPr>
        <w:numPr>
          <w:ilvl w:val="0"/>
          <w:numId w:val="13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平台合同必须确认USD5,000/月在车队扩至1,000辆后不加价，并设置服务可用率、故障减免、数据导出和退出迁移条款。</w:t>
      </w:r>
    </w:p>
    <w:p>
      <w:pPr>
        <w:ind w:left="216" w:right="144"/>
        <w:pBdr>
          <w:left w:val="single" w:sz="24" w:space="8" w:color="25704A"/>
        </w:pBdr>
      </w:pPr>
      <w:r>
        <w:rPr>
          <w:rFonts w:ascii="Noto Sans SC" w:hAnsi="Noto Sans SC" w:eastAsia="Noto Sans SC"/>
          <w:b/>
          <w:i w:val="0"/>
          <w:color w:val="25704A"/>
          <w:sz w:val="22"/>
        </w:rPr>
        <w:t xml:space="preserve">投资判断 </w:t>
      </w:r>
      <w:r>
        <w:rPr>
          <w:rFonts w:ascii="Noto Sans SC" w:hAnsi="Noto Sans SC" w:eastAsia="Noto Sans SC"/>
          <w:b w:val="0"/>
          <w:i w:val="0"/>
          <w:color w:val="20242A"/>
          <w:sz w:val="22"/>
        </w:rPr>
        <w:t>按当前报价，500辆首期需要约CNY5,200,000（约520万元人民币）。只有稳定达到约2.2单/车/日，才有机会实现约3.7年静态回收；1.5单/车/日虽不亏损，但回收约13年，投资吸引力不足。项目成败取决于合规先行、系统费用谈判、订单密度和分期投资纪律。</w:t>
      </w:r>
    </w:p>
    <w:p>
      <w:r>
        <w:br w:type="page"/>
      </w:r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附录A：待政府确认的问题清单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具体样车型号在马尔代夫法律下属于自行车、电助力自行车、轻便摩托车还是电动摩托车？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每辆车是否需要型式批准、检验、车牌、年度费、第三方保险？用户是否需要驾驶证、最低年龄和头盔？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共享运营应归入租赁、陆路运输还是政府特许公共服务？本地/外资股权分别有什么限制？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Addu City可批准哪些停车点、充换电点和禁停区？是否收取固定许可费或营业额分成？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中国原产整车适用哪个现行HS编码？0%关税所需原产地证、装运和直运证据是什么？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设备进口和自用于服务经营的8% GST如何申报，是否形成可抵扣进项税？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骑行费以MVR和游客USD报价时，收单、结算、退款、发票和外汇规则是什么？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废旧电池和事故损坏电池应交由哪一家获准机构处理？</w:t>
      </w:r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附录B：主要资料来源</w:t>
      </w: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以下资料于2026年8月4日检索，财务口径于2026年8月5日按用户最新报价修订。政策会更新，项目发运前应再次核验，并以主管机关书面文件为准。</w:t>
      </w:r>
    </w:p>
    <w:p>
      <w:pPr>
        <w:spacing w:after="80"/>
      </w:pPr>
      <w:r>
        <w:rPr>
          <w:rFonts w:ascii="Noto Sans SC" w:hAnsi="Noto Sans SC" w:eastAsia="Noto Sans SC"/>
          <w:b w:val="0"/>
          <w:i w:val="0"/>
          <w:color w:val="20242A"/>
          <w:sz w:val="18"/>
        </w:rPr>
        <w:t>[1] 马尔代夫统计局：《Addu City Atoll Profile》，2026年2月版：</w:t>
      </w:r>
      <w:hyperlink r:id="rId11">
        <w:r>
          <w:rPr>
            <w:rFonts w:ascii="Noto Sans SC" w:hAnsi="Noto Sans SC" w:eastAsia="Noto Sans SC"/>
            <w:color w:val="2E74B5"/>
            <w:u w:val="single"/>
            <w:sz w:val="18"/>
          </w:rPr>
          <w:t>打开来源</w:t>
        </w:r>
      </w:hyperlink>
    </w:p>
    <w:p>
      <w:pPr>
        <w:spacing w:after="80"/>
      </w:pPr>
      <w:r>
        <w:rPr>
          <w:rFonts w:ascii="Noto Sans SC" w:hAnsi="Noto Sans SC" w:eastAsia="Noto Sans SC"/>
          <w:b w:val="0"/>
          <w:i w:val="0"/>
          <w:color w:val="20242A"/>
          <w:sz w:val="18"/>
        </w:rPr>
        <w:t>[2] 马尔代夫统计局：Population Projection 2022-2062页面：</w:t>
      </w:r>
      <w:hyperlink r:id="rId12">
        <w:r>
          <w:rPr>
            <w:rFonts w:ascii="Noto Sans SC" w:hAnsi="Noto Sans SC" w:eastAsia="Noto Sans SC"/>
            <w:color w:val="2E74B5"/>
            <w:u w:val="single"/>
            <w:sz w:val="18"/>
          </w:rPr>
          <w:t>打开来源</w:t>
        </w:r>
      </w:hyperlink>
    </w:p>
    <w:p>
      <w:pPr>
        <w:spacing w:after="80"/>
      </w:pPr>
      <w:r>
        <w:rPr>
          <w:rFonts w:ascii="Noto Sans SC" w:hAnsi="Noto Sans SC" w:eastAsia="Noto Sans SC"/>
          <w:b w:val="0"/>
          <w:i w:val="0"/>
          <w:color w:val="20242A"/>
          <w:sz w:val="18"/>
        </w:rPr>
        <w:t>[3] 马尔代夫经济发展、交通与贸易部：中马自由贸易协定专题页：</w:t>
      </w:r>
      <w:hyperlink r:id="rId13">
        <w:r>
          <w:rPr>
            <w:rFonts w:ascii="Noto Sans SC" w:hAnsi="Noto Sans SC" w:eastAsia="Noto Sans SC"/>
            <w:color w:val="2E74B5"/>
            <w:u w:val="single"/>
            <w:sz w:val="18"/>
          </w:rPr>
          <w:t>打开来源</w:t>
        </w:r>
      </w:hyperlink>
    </w:p>
    <w:p>
      <w:pPr>
        <w:spacing w:after="80"/>
      </w:pPr>
      <w:r>
        <w:rPr>
          <w:rFonts w:ascii="Noto Sans SC" w:hAnsi="Noto Sans SC" w:eastAsia="Noto Sans SC"/>
          <w:b w:val="0"/>
          <w:i w:val="0"/>
          <w:color w:val="20242A"/>
          <w:sz w:val="18"/>
        </w:rPr>
        <w:t>[4] 中马自贸协定附件1B：马尔代夫关税承诺表（旧HS 8711901011电动自行车为0%、A类）：</w:t>
      </w:r>
      <w:hyperlink r:id="rId14">
        <w:r>
          <w:rPr>
            <w:rFonts w:ascii="Noto Sans SC" w:hAnsi="Noto Sans SC" w:eastAsia="Noto Sans SC"/>
            <w:color w:val="2E74B5"/>
            <w:u w:val="single"/>
            <w:sz w:val="18"/>
          </w:rPr>
          <w:t>打开来源</w:t>
        </w:r>
      </w:hyperlink>
    </w:p>
    <w:p>
      <w:pPr>
        <w:spacing w:after="80"/>
      </w:pPr>
      <w:r>
        <w:rPr>
          <w:rFonts w:ascii="Noto Sans SC" w:hAnsi="Noto Sans SC" w:eastAsia="Noto Sans SC"/>
          <w:b w:val="0"/>
          <w:i w:val="0"/>
          <w:color w:val="20242A"/>
          <w:sz w:val="18"/>
        </w:rPr>
        <w:t>[5] 马尔代夫经济发展、交通与贸易部：2025年外资准入要求附件1：</w:t>
      </w:r>
      <w:hyperlink r:id="rId15">
        <w:r>
          <w:rPr>
            <w:rFonts w:ascii="Noto Sans SC" w:hAnsi="Noto Sans SC" w:eastAsia="Noto Sans SC"/>
            <w:color w:val="2E74B5"/>
            <w:u w:val="single"/>
            <w:sz w:val="18"/>
          </w:rPr>
          <w:t>打开来源</w:t>
        </w:r>
      </w:hyperlink>
    </w:p>
    <w:p>
      <w:pPr>
        <w:spacing w:after="80"/>
      </w:pPr>
      <w:r>
        <w:rPr>
          <w:rFonts w:ascii="Noto Sans SC" w:hAnsi="Noto Sans SC" w:eastAsia="Noto Sans SC"/>
          <w:b w:val="0"/>
          <w:i w:val="0"/>
          <w:color w:val="20242A"/>
          <w:sz w:val="18"/>
        </w:rPr>
        <w:t>[6] Invest Maldives：外资审批流程及USD5,000行政费：</w:t>
      </w:r>
      <w:hyperlink r:id="rId16">
        <w:r>
          <w:rPr>
            <w:rFonts w:ascii="Noto Sans SC" w:hAnsi="Noto Sans SC" w:eastAsia="Noto Sans SC"/>
            <w:color w:val="2E74B5"/>
            <w:u w:val="single"/>
            <w:sz w:val="18"/>
          </w:rPr>
          <w:t>打开来源</w:t>
        </w:r>
      </w:hyperlink>
    </w:p>
    <w:p>
      <w:pPr>
        <w:spacing w:after="80"/>
      </w:pPr>
      <w:r>
        <w:rPr>
          <w:rFonts w:ascii="Noto Sans SC" w:hAnsi="Noto Sans SC" w:eastAsia="Noto Sans SC"/>
          <w:b w:val="0"/>
          <w:i w:val="0"/>
          <w:color w:val="20242A"/>
          <w:sz w:val="18"/>
        </w:rPr>
        <w:t>[7] MIRA：GST概览及税率（一般部门8%）：</w:t>
      </w:r>
      <w:hyperlink r:id="rId17">
        <w:r>
          <w:rPr>
            <w:rFonts w:ascii="Noto Sans SC" w:hAnsi="Noto Sans SC" w:eastAsia="Noto Sans SC"/>
            <w:color w:val="2E74B5"/>
            <w:u w:val="single"/>
            <w:sz w:val="18"/>
          </w:rPr>
          <w:t>打开来源</w:t>
        </w:r>
      </w:hyperlink>
    </w:p>
    <w:p>
      <w:pPr>
        <w:spacing w:after="80"/>
      </w:pPr>
      <w:r>
        <w:rPr>
          <w:rFonts w:ascii="Noto Sans SC" w:hAnsi="Noto Sans SC" w:eastAsia="Noto Sans SC"/>
          <w:b w:val="0"/>
          <w:i w:val="0"/>
          <w:color w:val="20242A"/>
          <w:sz w:val="18"/>
        </w:rPr>
        <w:t>[8] MIRA：GST常见问题与强制登记条件：</w:t>
      </w:r>
      <w:hyperlink r:id="rId18">
        <w:r>
          <w:rPr>
            <w:rFonts w:ascii="Noto Sans SC" w:hAnsi="Noto Sans SC" w:eastAsia="Noto Sans SC"/>
            <w:color w:val="2E74B5"/>
            <w:u w:val="single"/>
            <w:sz w:val="18"/>
          </w:rPr>
          <w:t>打开来源</w:t>
        </w:r>
      </w:hyperlink>
    </w:p>
    <w:p>
      <w:pPr>
        <w:spacing w:after="80"/>
      </w:pPr>
      <w:r>
        <w:rPr>
          <w:rFonts w:ascii="Noto Sans SC" w:hAnsi="Noto Sans SC" w:eastAsia="Noto Sans SC"/>
          <w:b w:val="0"/>
          <w:i w:val="0"/>
          <w:color w:val="20242A"/>
          <w:sz w:val="18"/>
        </w:rPr>
        <w:t>[9] MIRA：所得税法（非个人、非银行主体超过MVR500,000部分15%）：</w:t>
      </w:r>
      <w:hyperlink r:id="rId19">
        <w:r>
          <w:rPr>
            <w:rFonts w:ascii="Noto Sans SC" w:hAnsi="Noto Sans SC" w:eastAsia="Noto Sans SC"/>
            <w:color w:val="2E74B5"/>
            <w:u w:val="single"/>
            <w:sz w:val="18"/>
          </w:rPr>
          <w:t>打开来源</w:t>
        </w:r>
      </w:hyperlink>
    </w:p>
    <w:p>
      <w:pPr>
        <w:spacing w:after="80"/>
      </w:pPr>
      <w:r>
        <w:rPr>
          <w:rFonts w:ascii="Noto Sans SC" w:hAnsi="Noto Sans SC" w:eastAsia="Noto Sans SC"/>
          <w:b w:val="0"/>
          <w:i w:val="0"/>
          <w:color w:val="20242A"/>
          <w:sz w:val="18"/>
        </w:rPr>
        <w:t>[10] 马尔代夫货币管理局：MVR/USD参考汇率，2026年6月15.42：</w:t>
      </w:r>
      <w:hyperlink r:id="rId20">
        <w:r>
          <w:rPr>
            <w:rFonts w:ascii="Noto Sans SC" w:hAnsi="Noto Sans SC" w:eastAsia="Noto Sans SC"/>
            <w:color w:val="2E74B5"/>
            <w:u w:val="single"/>
            <w:sz w:val="18"/>
          </w:rPr>
          <w:t>打开来源</w:t>
        </w:r>
      </w:hyperlink>
    </w:p>
    <w:p>
      <w:pPr>
        <w:spacing w:after="80"/>
      </w:pPr>
      <w:r>
        <w:rPr>
          <w:rFonts w:ascii="Noto Sans SC" w:hAnsi="Noto Sans SC" w:eastAsia="Noto Sans SC"/>
          <w:b w:val="0"/>
          <w:i w:val="0"/>
          <w:color w:val="20242A"/>
          <w:sz w:val="18"/>
        </w:rPr>
        <w:t>[11] 马尔代夫交通主管部门：车辆年度费用官方平台：</w:t>
      </w:r>
      <w:hyperlink r:id="rId21">
        <w:r>
          <w:rPr>
            <w:rFonts w:ascii="Noto Sans SC" w:hAnsi="Noto Sans SC" w:eastAsia="Noto Sans SC"/>
            <w:color w:val="2E74B5"/>
            <w:u w:val="single"/>
            <w:sz w:val="18"/>
          </w:rPr>
          <w:t>打开来源</w:t>
        </w:r>
      </w:hyperlink>
    </w:p>
    <w:p>
      <w:pPr>
        <w:spacing w:after="80"/>
      </w:pPr>
      <w:r>
        <w:rPr>
          <w:rFonts w:ascii="Noto Sans SC" w:hAnsi="Noto Sans SC" w:eastAsia="Noto Sans SC"/>
          <w:b w:val="0"/>
          <w:i w:val="0"/>
          <w:color w:val="20242A"/>
          <w:sz w:val="18"/>
        </w:rPr>
        <w:t>[12] Addu City Council官方网站：</w:t>
      </w:r>
      <w:hyperlink r:id="rId22">
        <w:r>
          <w:rPr>
            <w:rFonts w:ascii="Noto Sans SC" w:hAnsi="Noto Sans SC" w:eastAsia="Noto Sans SC"/>
            <w:color w:val="2E74B5"/>
            <w:u w:val="single"/>
            <w:sz w:val="18"/>
          </w:rPr>
          <w:t>打开来源</w:t>
        </w:r>
      </w:hyperlink>
    </w:p>
    <w:p>
      <w:pPr>
        <w:spacing w:after="80"/>
      </w:pPr>
      <w:r>
        <w:rPr>
          <w:rFonts w:ascii="Noto Sans SC" w:hAnsi="Noto Sans SC" w:eastAsia="Noto Sans SC"/>
          <w:b w:val="0"/>
          <w:i w:val="0"/>
          <w:color w:val="20242A"/>
          <w:sz w:val="18"/>
        </w:rPr>
        <w:t>[13] Hulhumale公共自行车试点报道（市场先例，非法律依据）：</w:t>
      </w:r>
      <w:hyperlink r:id="rId23">
        <w:r>
          <w:rPr>
            <w:rFonts w:ascii="Noto Sans SC" w:hAnsi="Noto Sans SC" w:eastAsia="Noto Sans SC"/>
            <w:color w:val="2E74B5"/>
            <w:u w:val="single"/>
            <w:sz w:val="18"/>
          </w:rPr>
          <w:t>打开来源</w:t>
        </w:r>
      </w:hyperlink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附录C：测算限制</w:t>
      </w: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本计划书属于项目可行性与投资预估，不构成马尔代夫法律、税务、海关或证券意义上的专业意见。由于尚未获得车辆规格书、装箱体积、运输报价、当地工资报价、保险报价、场地租金、政府收费和支付通道费率，相关成本采用审慎假设。投资人应在签署采购合同前用正式报价替换假设，并制作月度现金流、融资和税后IRR模型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SC" w:hAnsi="Noto Sans SC" w:eastAsia="Noto Sans SC"/>
        <w:b w:val="0"/>
        <w:i w:val="0"/>
        <w:color w:val="667085"/>
        <w:sz w:val="18"/>
      </w:rPr>
      <w:t xml:space="preserve">第 </w:t>
    </w:r>
    <w:fldSimple w:instr="PAGE"/>
    <w:r>
      <w:rPr>
        <w:rFonts w:ascii="Noto Sans SC" w:hAnsi="Noto Sans SC" w:eastAsia="Noto Sans SC"/>
        <w:b w:val="0"/>
        <w:i w:val="0"/>
        <w:color w:val="667085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Noto Sans SC" w:hAnsi="Noto Sans SC" w:eastAsia="Noto Sans SC"/>
        <w:b/>
        <w:i w:val="0"/>
        <w:color w:val="667085"/>
        <w:sz w:val="18"/>
      </w:rPr>
      <w:t>ADDU CITY | 共享电动自行车项目计划书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  <w:spacing w:after="80" w:line="290" w:lineRule="auto"/>
      </w:p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  <w:spacing w:after="80" w:line="290" w:lineRule="auto"/>
      </w:pPr>
    </w:lvl>
  </w:abstractNum>
  <w:num w:numId="11">
    <w:abstractNumId w:val="10"/>
  </w:num>
  <w:abstractNum w:abstractNumId="11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  <w:spacing w:after="80" w:line="290" w:lineRule="auto"/>
      </w:pPr>
    </w:lvl>
  </w:abstractNum>
  <w:num w:numId="12">
    <w:abstractNumId w:val="11"/>
  </w:num>
  <w:abstractNum w:abstractNumId="12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  <w:spacing w:after="80" w:line="290" w:lineRule="auto"/>
      </w:pPr>
    </w:lvl>
  </w:abstract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60" w:line="320" w:lineRule="auto"/>
      <w:jc w:val="both"/>
    </w:pPr>
    <w:rPr>
      <w:rFonts w:ascii="Noto Sans SC" w:hAnsi="Noto Sans SC" w:eastAsia="Noto Sans SC"/>
      <w:color w:val="2024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Noto Sans SC" w:hAnsi="Noto Sans SC" w:eastAsia="Noto Sans SC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Noto Sans SC" w:hAnsi="Noto Sans SC" w:eastAsia="Noto Sans SC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Noto Sans SC" w:hAnsi="Noto Sans SC" w:eastAsia="Noto Sans SC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statisticsmaldives.gov.mv/mbs/wp-content/uploads/2026/02/Addu-City-Atoll-Profile_160226.pdf" TargetMode="External"/><Relationship Id="rId12" Type="http://schemas.openxmlformats.org/officeDocument/2006/relationships/hyperlink" Target="https://statisticsmaldives.gov.mv/maldives-population-projection-2022-2062/" TargetMode="External"/><Relationship Id="rId13" Type="http://schemas.openxmlformats.org/officeDocument/2006/relationships/hyperlink" Target="https://trade.gov.mv/en/fta-china-maldives/" TargetMode="External"/><Relationship Id="rId14" Type="http://schemas.openxmlformats.org/officeDocument/2006/relationships/hyperlink" Target="https://trade.gov.mv/wp-content/uploads/03_Annex_1_-Part-B_Tariff_Schedule-_of_Maldives.pdf" TargetMode="External"/><Relationship Id="rId15" Type="http://schemas.openxmlformats.org/officeDocument/2006/relationships/hyperlink" Target="https://trade.gov.mv/wp-content/uploads/Annex-1-Foreign-Investment-Entry-Requirements.pdf" TargetMode="External"/><Relationship Id="rId16" Type="http://schemas.openxmlformats.org/officeDocument/2006/relationships/hyperlink" Target="https://trade.gov.mv/en/invest-maldives/" TargetMode="External"/><Relationship Id="rId17" Type="http://schemas.openxmlformats.org/officeDocument/2006/relationships/hyperlink" Target="https://www.mira.gov.mv/Pages/View/gst" TargetMode="External"/><Relationship Id="rId18" Type="http://schemas.openxmlformats.org/officeDocument/2006/relationships/hyperlink" Target="https://www.mira.gov.mv/Pages/View/FAQ_GST" TargetMode="External"/><Relationship Id="rId19" Type="http://schemas.openxmlformats.org/officeDocument/2006/relationships/hyperlink" Target="https://www.mira.gov.mv/Legislations/View/Incometaxact" TargetMode="External"/><Relationship Id="rId20" Type="http://schemas.openxmlformats.org/officeDocument/2006/relationships/hyperlink" Target="https://database.mma.gov.mv/viya/series/4039" TargetMode="External"/><Relationship Id="rId21" Type="http://schemas.openxmlformats.org/officeDocument/2006/relationships/hyperlink" Target="https://pay.transport.gov.mv/?paymentType=vehicle" TargetMode="External"/><Relationship Id="rId22" Type="http://schemas.openxmlformats.org/officeDocument/2006/relationships/hyperlink" Target="https://www.adducity.gov.mv/" TargetMode="External"/><Relationship Id="rId23" Type="http://schemas.openxmlformats.org/officeDocument/2006/relationships/hyperlink" Target="https://edition.mv/sports/368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马尔代夫 Addu City 共享电动自行车项目计划书</dc:title>
  <dc:subject>政策、投放规模、投资测算与投资回报</dc:subject>
  <dc:creator>项目工作组</dc:creator>
  <cp:keywords>Addu City, Maldives, shared e-bike, investment plan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