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微软雅黑" w:hAnsi="微软雅黑" w:eastAsia="微软雅黑"/>
          <w:b/>
          <w:color w:val="003366"/>
          <w:sz w:val="52"/>
        </w:rPr>
        <w:t>肖  欢</w:t>
      </w:r>
    </w:p>
    <w:p>
      <w:pPr>
        <w:spacing w:after="160"/>
        <w:jc w:val="center"/>
      </w:pPr>
      <w:r>
        <w:rPr>
          <w:rFonts w:ascii="微软雅黑" w:hAnsi="微软雅黑" w:eastAsia="微软雅黑"/>
          <w:color w:val="646464"/>
          <w:sz w:val="22"/>
        </w:rPr>
        <w:t>金融信贷专家  |  10年银行零售与信贷全条线实战经验</w:t>
      </w:r>
    </w:p>
    <w:p>
      <w:pPr>
        <w:spacing w:after="200"/>
        <w:jc w:val="center"/>
      </w:pPr>
      <w:r>
        <w:rPr>
          <w:rFonts w:ascii="微软雅黑" w:hAnsi="微软雅黑" w:eastAsia="微软雅黑"/>
          <w:color w:val="505050"/>
          <w:sz w:val="20"/>
        </w:rPr>
        <w:t xml:space="preserve">累计管理信贷规模 </w:t>
      </w:r>
      <w:r>
        <w:rPr>
          <w:rFonts w:ascii="微软雅黑" w:hAnsi="微软雅黑" w:eastAsia="微软雅黑"/>
          <w:b/>
          <w:color w:val="C00000"/>
          <w:sz w:val="20"/>
        </w:rPr>
        <w:t>5亿+</w:t>
      </w:r>
      <w:r>
        <w:rPr>
          <w:rFonts w:ascii="微软雅黑" w:hAnsi="微软雅黑" w:eastAsia="微软雅黑"/>
          <w:color w:val="505050"/>
          <w:sz w:val="20"/>
        </w:rPr>
        <w:t xml:space="preserve">  |  管户 </w:t>
      </w:r>
      <w:r>
        <w:rPr>
          <w:rFonts w:ascii="微软雅黑" w:hAnsi="微软雅黑" w:eastAsia="微软雅黑"/>
          <w:b/>
          <w:color w:val="C00000"/>
          <w:sz w:val="20"/>
        </w:rPr>
        <w:t>224户</w:t>
      </w:r>
      <w:r>
        <w:rPr>
          <w:rFonts w:ascii="微软雅黑" w:hAnsi="微软雅黑" w:eastAsia="微软雅黑"/>
          <w:color w:val="505050"/>
          <w:sz w:val="20"/>
        </w:rPr>
        <w:t xml:space="preserve">  |  私行客户 </w:t>
      </w:r>
      <w:r>
        <w:rPr>
          <w:rFonts w:ascii="微软雅黑" w:hAnsi="微软雅黑" w:eastAsia="微软雅黑"/>
          <w:b/>
          <w:color w:val="C00000"/>
          <w:sz w:val="20"/>
        </w:rPr>
        <w:t>4户</w:t>
      </w:r>
      <w:r>
        <w:rPr>
          <w:rFonts w:ascii="微软雅黑" w:hAnsi="微软雅黑" w:eastAsia="微软雅黑"/>
          <w:color w:val="505050"/>
          <w:sz w:val="20"/>
        </w:rPr>
        <w:t xml:space="preserve">  |  黑带客户经理 </w:t>
      </w:r>
    </w:p>
    <w:p>
      <w:pPr>
        <w:spacing w:before="40" w:after="40"/>
        <w:jc w:val="center"/>
      </w:pPr>
      <w:r>
        <w:rPr>
          <w:color w:val="B4B4B4"/>
          <w:sz w:val="16"/>
        </w:rPr>
        <w:t>──────────────────────────────────────────────────</w:t>
      </w:r>
    </w:p>
    <w:p>
      <w:pPr>
        <w:spacing w:after="120" w:before="0"/>
      </w:pPr>
      <w:r>
        <w:rPr>
          <w:rFonts w:ascii="微软雅黑" w:hAnsi="微软雅黑" w:eastAsia="微软雅黑"/>
          <w:b/>
          <w:color w:val="003366"/>
          <w:sz w:val="26"/>
        </w:rPr>
        <w:t>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联系电话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137-3065-1553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电子邮箱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986876829@qq.com</w:t>
            </w:r>
          </w:p>
        </w:tc>
      </w:tr>
      <w:tr>
        <w:tc>
          <w:tcPr>
            <w:tcW w:type="dxa" w:w="2351"/>
            <w:shd w:fill="003366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出生年月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1992年8月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现居地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四川·成都</w:t>
            </w:r>
          </w:p>
        </w:tc>
      </w:tr>
    </w:tbl>
    <w:p>
      <w:pPr>
        <w:spacing w:after="80"/>
      </w:pPr>
    </w:p>
    <w:p>
      <w:pPr>
        <w:spacing w:after="120" w:before="0"/>
      </w:pPr>
      <w:r>
        <w:rPr>
          <w:rFonts w:ascii="微软雅黑" w:hAnsi="微软雅黑" w:eastAsia="微软雅黑"/>
          <w:b/>
          <w:color w:val="003366"/>
          <w:sz w:val="26"/>
        </w:rPr>
        <w:t>教育背景</w:t>
      </w:r>
    </w:p>
    <w:p>
      <w:pPr>
        <w:spacing w:after="60"/>
      </w:pPr>
      <w:r>
        <w:rPr>
          <w:rFonts w:ascii="微软雅黑" w:hAnsi="微软雅黑" w:eastAsia="微软雅黑"/>
          <w:b/>
          <w:sz w:val="22"/>
        </w:rPr>
        <w:t>四川大学</w:t>
      </w:r>
      <w:r>
        <w:rPr>
          <w:rFonts w:ascii="微软雅黑" w:hAnsi="微软雅黑" w:eastAsia="微软雅黑"/>
          <w:color w:val="646464"/>
          <w:sz w:val="21"/>
        </w:rPr>
        <w:t xml:space="preserve">  |  金融学  |  本科  |  2010.09 — 2014.06</w:t>
      </w:r>
    </w:p>
    <w:p>
      <w:pPr>
        <w:spacing w:after="160"/>
      </w:pPr>
      <w:r>
        <w:rPr>
          <w:rFonts w:ascii="微软雅黑" w:hAnsi="微软雅黑" w:eastAsia="微软雅黑"/>
          <w:b/>
          <w:sz w:val="21"/>
        </w:rPr>
        <w:t>专业资质：</w:t>
      </w:r>
      <w:r>
        <w:rPr>
          <w:rFonts w:ascii="微软雅黑" w:hAnsi="微软雅黑" w:eastAsia="微软雅黑"/>
          <w:color w:val="C00000"/>
          <w:sz w:val="21"/>
        </w:rPr>
        <w:t>AFP金融理财师认证（FPSB）</w:t>
      </w:r>
    </w:p>
    <w:p>
      <w:pPr>
        <w:spacing w:after="120" w:before="0"/>
      </w:pPr>
      <w:r>
        <w:rPr>
          <w:rFonts w:ascii="微软雅黑" w:hAnsi="微软雅黑" w:eastAsia="微软雅黑"/>
          <w:b/>
          <w:color w:val="003366"/>
          <w:sz w:val="26"/>
        </w:rPr>
        <w:t>核心优势</w:t>
      </w:r>
    </w:p>
    <w:p>
      <w:pPr>
        <w:spacing w:after="8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信贷规模管理：</w:t>
      </w:r>
      <w:r>
        <w:rPr>
          <w:rFonts w:ascii="微软雅黑" w:hAnsi="微软雅黑" w:eastAsia="微软雅黑"/>
          <w:sz w:val="21"/>
        </w:rPr>
        <w:t>累计管理信贷资产超5亿元，管户224户，任职期间零重大风险事件</w:t>
      </w:r>
    </w:p>
    <w:p>
      <w:pPr>
        <w:spacing w:after="8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产品全条线覆盖：</w:t>
      </w:r>
      <w:r>
        <w:rPr>
          <w:rFonts w:ascii="微软雅黑" w:hAnsi="微软雅黑" w:eastAsia="微软雅黑"/>
          <w:sz w:val="21"/>
        </w:rPr>
        <w:t>精通个贷（按揭/经营/消费）、对公小微、理财代销、代发工资等全品类零售产品</w:t>
      </w:r>
    </w:p>
    <w:p>
      <w:pPr>
        <w:spacing w:after="8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客户经营深度：</w:t>
      </w:r>
      <w:r>
        <w:rPr>
          <w:rFonts w:ascii="微软雅黑" w:hAnsi="微软雅黑" w:eastAsia="微软雅黑"/>
          <w:sz w:val="21"/>
        </w:rPr>
        <w:t>维护私行客户4户，管理零售金融资产4,800万元，对公存款2,600万元</w:t>
      </w:r>
    </w:p>
    <w:p>
      <w:pPr>
        <w:spacing w:after="8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业绩排名前列：</w:t>
      </w:r>
      <w:r>
        <w:rPr>
          <w:rFonts w:ascii="微软雅黑" w:hAnsi="微软雅黑" w:eastAsia="微软雅黑"/>
          <w:sz w:val="21"/>
        </w:rPr>
        <w:t>2023年贷款投放位列分行前10名，2024年获评黑带客户经理（民生银行最高客户经理等级）</w:t>
      </w:r>
    </w:p>
    <w:p>
      <w:pPr>
        <w:spacing w:after="80"/>
      </w:pPr>
    </w:p>
    <w:p>
      <w:pPr>
        <w:spacing w:after="120" w:before="0"/>
      </w:pPr>
      <w:r>
        <w:rPr>
          <w:rFonts w:ascii="微软雅黑" w:hAnsi="微软雅黑" w:eastAsia="微软雅黑"/>
          <w:b/>
          <w:color w:val="003366"/>
          <w:sz w:val="26"/>
        </w:rPr>
        <w:t>职业履历</w:t>
      </w:r>
    </w:p>
    <w:p>
      <w:pPr>
        <w:spacing w:after="20"/>
      </w:pPr>
      <w:r>
        <w:rPr>
          <w:rFonts w:ascii="微软雅黑" w:hAnsi="微软雅黑" w:eastAsia="微软雅黑"/>
          <w:b/>
          <w:color w:val="003366"/>
          <w:sz w:val="24"/>
        </w:rPr>
        <w:t>中国民生银行双流支行</w:t>
      </w:r>
      <w:r>
        <w:rPr>
          <w:rFonts w:ascii="微软雅黑" w:hAnsi="微软雅黑" w:eastAsia="微软雅黑"/>
          <w:sz w:val="22"/>
        </w:rPr>
        <w:t xml:space="preserve">  |  小微客户经理 / 团队长</w:t>
      </w:r>
    </w:p>
    <w:p>
      <w:pPr>
        <w:spacing w:after="80"/>
      </w:pPr>
      <w:r>
        <w:rPr>
          <w:rFonts w:ascii="微软雅黑" w:hAnsi="微软雅黑" w:eastAsia="微软雅黑"/>
          <w:i/>
          <w:color w:val="787878"/>
          <w:sz w:val="20"/>
        </w:rPr>
        <w:t>2020年6月 — 至今  |  四川·成都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信贷规模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2.4亿元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管户数量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224户</w:t>
            </w:r>
          </w:p>
        </w:tc>
      </w:tr>
      <w:tr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零售金融资产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4,800万元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对公存款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2,600万元</w:t>
            </w:r>
          </w:p>
        </w:tc>
      </w:tr>
    </w:tbl>
    <w:p>
      <w:pPr>
        <w:spacing w:after="40"/>
      </w:pP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带领小微客户经理团队，建立标准化客户尽调流程，贷前经营/资产背景核查覆盖率100%</w:t>
      </w: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深度挖掘存量客户综合金融需求，提升产品绑定率与钱包份额，维护私行层级客户4户</w:t>
      </w: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拓展工资代发企业10余户，建立稳定的对公结算流水，形成公私联动获客闭环</w:t>
      </w: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2023年贷款投放业绩排名分行前10，2024年获评民生银行最高等级"黑带客户经理"</w:t>
      </w:r>
    </w:p>
    <w:p>
      <w:pPr>
        <w:spacing w:after="120"/>
      </w:pPr>
    </w:p>
    <w:p>
      <w:pPr>
        <w:spacing w:after="20"/>
      </w:pPr>
      <w:r>
        <w:rPr>
          <w:rFonts w:ascii="微软雅黑" w:hAnsi="微软雅黑" w:eastAsia="微软雅黑"/>
          <w:b/>
          <w:color w:val="003366"/>
          <w:sz w:val="24"/>
        </w:rPr>
        <w:t>中信银行成都分行锦绣支行</w:t>
      </w:r>
      <w:r>
        <w:rPr>
          <w:rFonts w:ascii="微软雅黑" w:hAnsi="微软雅黑" w:eastAsia="微软雅黑"/>
          <w:sz w:val="22"/>
        </w:rPr>
        <w:t xml:space="preserve">  |  客户经理</w:t>
      </w:r>
    </w:p>
    <w:p>
      <w:pPr>
        <w:spacing w:after="80"/>
      </w:pPr>
      <w:r>
        <w:rPr>
          <w:rFonts w:ascii="微软雅黑" w:hAnsi="微软雅黑" w:eastAsia="微软雅黑"/>
          <w:i/>
          <w:color w:val="787878"/>
          <w:sz w:val="20"/>
        </w:rPr>
        <w:t>2018年1月 — 2020年3月  |  四川·成都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2018年按揭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4,000万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2018年经营贷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1.2亿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2019年按揭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3,500万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2019年经营贷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9,500万</w:t>
            </w:r>
          </w:p>
        </w:tc>
      </w:tr>
    </w:tbl>
    <w:p>
      <w:pPr>
        <w:spacing w:after="40"/>
      </w:pP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独立完成客户获客、尽调、授信审批、放款及贷后维护全链路操作</w:t>
      </w: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建立标准化客户经营台账，提升客户转介绍率与复购率</w:t>
      </w: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两年累计投放信贷规模超3亿元，保持稳定的业绩产出节奏</w:t>
      </w:r>
    </w:p>
    <w:p>
      <w:pPr>
        <w:spacing w:after="120"/>
      </w:pPr>
    </w:p>
    <w:p>
      <w:pPr>
        <w:spacing w:after="20"/>
      </w:pPr>
      <w:r>
        <w:rPr>
          <w:rFonts w:ascii="微软雅黑" w:hAnsi="微软雅黑" w:eastAsia="微软雅黑"/>
          <w:b/>
          <w:color w:val="003366"/>
          <w:sz w:val="24"/>
        </w:rPr>
        <w:t>中信银行高新支行</w:t>
      </w:r>
      <w:r>
        <w:rPr>
          <w:rFonts w:ascii="微软雅黑" w:hAnsi="微软雅黑" w:eastAsia="微软雅黑"/>
          <w:sz w:val="22"/>
        </w:rPr>
        <w:t xml:space="preserve">  |  大堂经理 / 理财经理助理 / 个贷客户经理助理</w:t>
      </w:r>
    </w:p>
    <w:p>
      <w:pPr>
        <w:spacing w:after="80"/>
      </w:pPr>
      <w:r>
        <w:rPr>
          <w:rFonts w:ascii="微软雅黑" w:hAnsi="微软雅黑" w:eastAsia="微软雅黑"/>
          <w:i/>
          <w:color w:val="787878"/>
          <w:sz w:val="20"/>
        </w:rPr>
        <w:t>2015年4月 — 2017年12月  |  四川·成都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封闭式理财销售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2,600万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一手房按揭投放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8,600万</w:t>
            </w:r>
          </w:p>
        </w:tc>
      </w:tr>
      <w:tr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二手房按揭投放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7,500万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505050"/>
                <w:sz w:val="19"/>
              </w:rPr>
              <w:t>抵押贷款投放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4,800万</w:t>
            </w:r>
          </w:p>
        </w:tc>
      </w:tr>
    </w:tbl>
    <w:p>
      <w:pPr>
        <w:spacing w:after="40"/>
      </w:pP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从厅堂服务起步，快速轮岗理财、个贷条线，完成零售业务全条线能力构建</w:t>
      </w: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一手房项目覆盖复地御香山、复地金融岛、珑熙郡等高端楼盘，二手房聚焦麓山国际等社区</w:t>
      </w:r>
    </w:p>
    <w:p>
      <w:pPr>
        <w:pStyle w:val="ListBullet"/>
        <w:spacing w:after="40"/>
        <w:ind w:left="283"/>
      </w:pPr>
      <w:r>
        <w:rPr>
          <w:rFonts w:ascii="微软雅黑" w:hAnsi="微软雅黑" w:eastAsia="微软雅黑"/>
          <w:sz w:val="20"/>
        </w:rPr>
        <w:t>积累高端社区客户资源，建立批量获客渠道，为后续客户经理岗位奠定客户基础</w:t>
      </w:r>
    </w:p>
    <w:p>
      <w:pPr>
        <w:spacing w:after="120"/>
      </w:pPr>
    </w:p>
    <w:p>
      <w:pPr>
        <w:spacing w:after="20"/>
      </w:pPr>
      <w:r>
        <w:rPr>
          <w:rFonts w:ascii="微软雅黑" w:hAnsi="微软雅黑" w:eastAsia="微软雅黑"/>
          <w:b/>
          <w:color w:val="003366"/>
          <w:sz w:val="24"/>
        </w:rPr>
        <w:t>成都银行</w:t>
      </w:r>
      <w:r>
        <w:rPr>
          <w:rFonts w:ascii="微软雅黑" w:hAnsi="微软雅黑" w:eastAsia="微软雅黑"/>
          <w:sz w:val="22"/>
        </w:rPr>
        <w:t xml:space="preserve">  |  大堂经理（实习）</w:t>
      </w:r>
    </w:p>
    <w:p>
      <w:pPr>
        <w:spacing w:after="80"/>
      </w:pPr>
      <w:r>
        <w:rPr>
          <w:rFonts w:ascii="微软雅黑" w:hAnsi="微软雅黑" w:eastAsia="微软雅黑"/>
          <w:i/>
          <w:color w:val="787878"/>
          <w:sz w:val="20"/>
        </w:rPr>
        <w:t>2014年11月 — 2015年2月  |  四川·成都</w:t>
      </w:r>
    </w:p>
    <w:p>
      <w:pPr>
        <w:spacing w:after="160"/>
        <w:ind w:left="283"/>
      </w:pPr>
      <w:r>
        <w:rPr>
          <w:rFonts w:ascii="微软雅黑" w:hAnsi="微软雅黑" w:eastAsia="微软雅黑"/>
          <w:sz w:val="20"/>
        </w:rPr>
        <w:t>完成银行零售业务基础认知与厅堂服务规范学习，建立对银行业务体系的初步理解</w:t>
      </w:r>
    </w:p>
    <w:p>
      <w:pPr>
        <w:spacing w:after="120" w:before="0"/>
      </w:pPr>
      <w:r>
        <w:rPr>
          <w:rFonts w:ascii="微软雅黑" w:hAnsi="微软雅黑" w:eastAsia="微软雅黑"/>
          <w:b/>
          <w:color w:val="003366"/>
          <w:sz w:val="26"/>
        </w:rPr>
        <w:t>荣誉与专业认证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19"/>
              </w:rPr>
              <w:t>2024年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黑带客户经理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19"/>
              </w:rPr>
              <w:t>中国民生银行（最高客户经理等级）</w:t>
            </w:r>
          </w:p>
        </w:tc>
      </w:tr>
      <w:tr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19"/>
              </w:rPr>
              <w:t>2023年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年度考核优秀 / 贷款投放分行前10名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19"/>
              </w:rPr>
              <w:t>中国民生银行</w:t>
            </w:r>
          </w:p>
        </w:tc>
      </w:tr>
      <w:tr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19"/>
              </w:rPr>
              <w:t>2022年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优秀青年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19"/>
              </w:rPr>
              <w:t>中国民生银行</w:t>
            </w:r>
          </w:p>
        </w:tc>
      </w:tr>
      <w:tr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19"/>
              </w:rPr>
              <w:t>—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C00000"/>
                <w:sz w:val="19"/>
              </w:rPr>
              <w:t>AFP金融理财师</w:t>
            </w:r>
          </w:p>
        </w:tc>
        <w:tc>
          <w:tcPr>
            <w:tcW w:type="dxa" w:w="3135"/>
          </w:tcPr>
          <w:p>
            <w:pPr>
              <w:jc w:val="center"/>
            </w:pPr>
            <w:r>
              <w:rPr>
                <w:rFonts w:ascii="微软雅黑" w:hAnsi="微软雅黑" w:eastAsia="微软雅黑"/>
                <w:sz w:val="19"/>
              </w:rPr>
              <w:t>国际金融理财标准委员会（FPSB）</w:t>
            </w:r>
          </w:p>
        </w:tc>
      </w:tr>
    </w:tbl>
    <w:p>
      <w:pPr>
        <w:spacing w:after="120"/>
      </w:pPr>
    </w:p>
    <w:p>
      <w:pPr>
        <w:spacing w:after="120" w:before="0"/>
      </w:pPr>
      <w:r>
        <w:rPr>
          <w:rFonts w:ascii="微软雅黑" w:hAnsi="微软雅黑" w:eastAsia="微软雅黑"/>
          <w:b/>
          <w:color w:val="003366"/>
          <w:sz w:val="26"/>
        </w:rPr>
        <w:t>专业技能</w:t>
      </w:r>
    </w:p>
    <w:p>
      <w:pPr>
        <w:spacing w:after="6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信贷产品：</w:t>
      </w:r>
      <w:r>
        <w:rPr>
          <w:rFonts w:ascii="微软雅黑" w:hAnsi="微软雅黑" w:eastAsia="微软雅黑"/>
          <w:sz w:val="21"/>
        </w:rPr>
        <w:t>个人住房按揭、经营性贷款、消费贷、中小微企业贷款、科创贷、抵押贷款</w:t>
      </w:r>
    </w:p>
    <w:p>
      <w:pPr>
        <w:spacing w:after="6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零售产品：</w:t>
      </w:r>
      <w:r>
        <w:rPr>
          <w:rFonts w:ascii="微软雅黑" w:hAnsi="微软雅黑" w:eastAsia="微软雅黑"/>
          <w:sz w:val="21"/>
        </w:rPr>
        <w:t>理财代销、储蓄存款营销、工资代发、私行客户维护、信用卡交叉销售</w:t>
      </w:r>
    </w:p>
    <w:p>
      <w:pPr>
        <w:spacing w:after="6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客户经营：</w:t>
      </w:r>
      <w:r>
        <w:rPr>
          <w:rFonts w:ascii="微软雅黑" w:hAnsi="微软雅黑" w:eastAsia="微软雅黑"/>
          <w:sz w:val="21"/>
        </w:rPr>
        <w:t>线下拓客、存量客户分层经营、KYC深度尽调、综合金融方案设计</w:t>
      </w:r>
    </w:p>
    <w:p>
      <w:pPr>
        <w:spacing w:after="6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风险管理：</w:t>
      </w:r>
      <w:r>
        <w:rPr>
          <w:rFonts w:ascii="微软雅黑" w:hAnsi="微软雅黑" w:eastAsia="微软雅黑"/>
          <w:sz w:val="21"/>
        </w:rPr>
        <w:t>信贷全流程合规把控、客户经营/资产背景核查、贷后预警监测</w:t>
      </w:r>
    </w:p>
    <w:p>
      <w:pPr>
        <w:spacing w:after="60"/>
        <w:ind w:left="170"/>
      </w:pPr>
      <w:r>
        <w:rPr>
          <w:rFonts w:ascii="微软雅黑" w:hAnsi="微软雅黑" w:eastAsia="微软雅黑"/>
          <w:b/>
          <w:color w:val="003366"/>
          <w:sz w:val="21"/>
        </w:rPr>
        <w:t>▸ 软技能：</w:t>
      </w:r>
      <w:r>
        <w:rPr>
          <w:rFonts w:ascii="微软雅黑" w:hAnsi="微软雅黑" w:eastAsia="微软雅黑"/>
          <w:sz w:val="21"/>
        </w:rPr>
        <w:t>商务谈判、抗压攻坚、团队管理、跨部门协调</w:t>
      </w:r>
    </w:p>
    <w:p>
      <w:pPr>
        <w:spacing w:after="120"/>
      </w:pPr>
    </w:p>
    <w:p>
      <w:pPr>
        <w:spacing w:after="120" w:before="0"/>
      </w:pPr>
      <w:r>
        <w:rPr>
          <w:rFonts w:ascii="微软雅黑" w:hAnsi="微软雅黑" w:eastAsia="微软雅黑"/>
          <w:b/>
          <w:color w:val="003366"/>
          <w:sz w:val="26"/>
        </w:rPr>
        <w:t>自我评价</w:t>
      </w:r>
    </w:p>
    <w:p>
      <w:pPr>
        <w:ind w:left="170"/>
      </w:pPr>
      <w:r>
        <w:rPr>
          <w:rFonts w:ascii="微软雅黑" w:hAnsi="微软雅黑" w:eastAsia="微软雅黑"/>
          <w:sz w:val="21"/>
        </w:rPr>
        <w:t>拥有10年银行零售与信贷全条线实战经验，从厅堂服务到团队管理，完成从执行者到管理者的能力跃迁。擅长</w:t>
      </w:r>
      <w:r>
        <w:rPr>
          <w:rFonts w:ascii="微软雅黑" w:hAnsi="微软雅黑" w:eastAsia="微软雅黑"/>
          <w:b/>
          <w:color w:val="C00000"/>
          <w:sz w:val="21"/>
        </w:rPr>
        <w:t>线下客户拓新与存量深度经营</w:t>
      </w:r>
      <w:r>
        <w:rPr>
          <w:rFonts w:ascii="微软雅黑" w:hAnsi="微软雅黑" w:eastAsia="微软雅黑"/>
          <w:sz w:val="21"/>
        </w:rPr>
        <w:t>，具备</w:t>
      </w:r>
      <w:r>
        <w:rPr>
          <w:rFonts w:ascii="微软雅黑" w:hAnsi="微软雅黑" w:eastAsia="微软雅黑"/>
          <w:b/>
          <w:color w:val="C00000"/>
          <w:sz w:val="21"/>
        </w:rPr>
        <w:t>从获客、尽调、放款到贷后维护的全链路独立作业能力</w:t>
      </w:r>
      <w:r>
        <w:rPr>
          <w:rFonts w:ascii="微软雅黑" w:hAnsi="微软雅黑" w:eastAsia="微软雅黑"/>
          <w:sz w:val="21"/>
        </w:rPr>
        <w:t>。风险敏感度高，习惯全面调研客户经营与资产背景，任职期间保持</w:t>
      </w:r>
      <w:r>
        <w:rPr>
          <w:rFonts w:ascii="微软雅黑" w:hAnsi="微软雅黑" w:eastAsia="微软雅黑"/>
          <w:b/>
          <w:color w:val="C00000"/>
          <w:sz w:val="21"/>
        </w:rPr>
        <w:t>零重大风险事件</w:t>
      </w:r>
      <w:r>
        <w:rPr>
          <w:rFonts w:ascii="微软雅黑" w:hAnsi="微软雅黑" w:eastAsia="微软雅黑"/>
          <w:sz w:val="21"/>
        </w:rPr>
        <w:t>。目标感与抗压能力突出，多次进入分行业绩前列，获评民生银行最高等级"黑带客户经理"。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